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3665220</wp:posOffset>
            </wp:positionH>
            <wp:positionV relativeFrom="page">
              <wp:posOffset>449580</wp:posOffset>
            </wp:positionV>
            <wp:extent cx="581025" cy="67627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ext uri="{28A0092B-C50C-407E-A947-70E740481C1C}"/>
                      </a:extLst>
                    </a:blip>
                    <a:srcRect/>
                    <a:stretch>
                      <a:fillRect/>
                    </a:stretch>
                  </pic:blipFill>
                  <pic:spPr bwMode="auto">
                    <a:xfrm>
                      <a:off x="0" y="0"/>
                      <a:ext cx="581025" cy="676275"/>
                    </a:xfrm>
                    <a:prstGeom prst="rect">
                      <a:avLst/>
                    </a:prstGeom>
                    <a:noFill/>
                  </pic:spPr>
                </pic:pic>
              </a:graphicData>
            </a:graphic>
          </wp:anchor>
        </w:drawing>
      </w:r>
    </w:p>
    <w:p>
      <w:pPr>
        <w:spacing w:after="0" w:line="268" w:lineRule="exact"/>
        <w:rPr>
          <w:sz w:val="24"/>
          <w:szCs w:val="24"/>
          <w:color w:val="auto"/>
        </w:rPr>
      </w:pPr>
    </w:p>
    <w:p>
      <w:pPr>
        <w:ind w:left="1160"/>
        <w:spacing w:after="0"/>
        <w:rPr>
          <w:sz w:val="20"/>
          <w:szCs w:val="20"/>
          <w:color w:val="auto"/>
        </w:rPr>
      </w:pPr>
      <w:r>
        <w:rPr>
          <w:rFonts w:ascii="Times New Roman" w:cs="Times New Roman" w:eastAsia="Times New Roman" w:hAnsi="Times New Roman"/>
          <w:sz w:val="37"/>
          <w:szCs w:val="37"/>
          <w:color w:val="auto"/>
        </w:rPr>
        <w:t>Ministero dell’Istruzione, dell’Università e della Ricerca</w:t>
      </w:r>
    </w:p>
    <w:p>
      <w:pPr>
        <w:spacing w:after="0" w:line="256" w:lineRule="exact"/>
        <w:rPr>
          <w:sz w:val="24"/>
          <w:szCs w:val="24"/>
          <w:color w:val="auto"/>
        </w:rPr>
      </w:pPr>
    </w:p>
    <w:p>
      <w:pPr>
        <w:ind w:left="2440"/>
        <w:spacing w:after="0"/>
        <w:rPr>
          <w:sz w:val="20"/>
          <w:szCs w:val="20"/>
          <w:color w:val="auto"/>
        </w:rPr>
      </w:pPr>
      <w:r>
        <w:rPr>
          <w:rFonts w:ascii="Times New Roman" w:cs="Times New Roman" w:eastAsia="Times New Roman" w:hAnsi="Times New Roman"/>
          <w:sz w:val="40"/>
          <w:szCs w:val="40"/>
          <w:color w:val="auto"/>
        </w:rPr>
        <w:t>Ufficio Scolastico Regionale per l’Abruzzo</w:t>
      </w:r>
    </w:p>
    <w:p>
      <w:pPr>
        <w:spacing w:after="0" w:line="174" w:lineRule="exact"/>
        <w:rPr>
          <w:sz w:val="24"/>
          <w:szCs w:val="24"/>
          <w:color w:val="auto"/>
        </w:rPr>
      </w:pPr>
    </w:p>
    <w:p>
      <w:pPr>
        <w:ind w:left="3240"/>
        <w:spacing w:after="0"/>
        <w:rPr>
          <w:sz w:val="20"/>
          <w:szCs w:val="20"/>
          <w:color w:val="auto"/>
        </w:rPr>
      </w:pPr>
      <w:r>
        <w:rPr>
          <w:rFonts w:ascii="Times New Roman" w:cs="Times New Roman" w:eastAsia="Times New Roman" w:hAnsi="Times New Roman"/>
          <w:sz w:val="40"/>
          <w:szCs w:val="40"/>
          <w:color w:val="auto"/>
        </w:rPr>
        <w:t>Direzione Generale – Ufficio 1</w:t>
      </w:r>
    </w:p>
    <w:p>
      <w:pPr>
        <w:spacing w:after="0" w:line="200" w:lineRule="exact"/>
        <w:rPr>
          <w:sz w:val="24"/>
          <w:szCs w:val="24"/>
          <w:color w:val="auto"/>
        </w:rPr>
      </w:pPr>
    </w:p>
    <w:p>
      <w:pPr>
        <w:spacing w:after="0" w:line="237" w:lineRule="exact"/>
        <w:rPr>
          <w:sz w:val="24"/>
          <w:szCs w:val="24"/>
          <w:color w:val="auto"/>
        </w:rPr>
      </w:pPr>
    </w:p>
    <w:p>
      <w:pPr>
        <w:ind w:left="3980"/>
        <w:spacing w:after="0"/>
        <w:rPr>
          <w:sz w:val="20"/>
          <w:szCs w:val="20"/>
          <w:color w:val="auto"/>
        </w:rPr>
      </w:pPr>
      <w:r>
        <w:rPr>
          <w:rFonts w:ascii="Calibri" w:cs="Calibri" w:eastAsia="Calibri" w:hAnsi="Calibri"/>
          <w:sz w:val="22"/>
          <w:szCs w:val="22"/>
          <w:b w:val="1"/>
          <w:bCs w:val="1"/>
          <w:color w:val="auto"/>
        </w:rPr>
        <w:t>Relazione illustrativa</w:t>
      </w:r>
    </w:p>
    <w:p>
      <w:pPr>
        <w:spacing w:after="0" w:line="2" w:lineRule="exact"/>
        <w:rPr>
          <w:sz w:val="24"/>
          <w:szCs w:val="24"/>
          <w:color w:val="auto"/>
        </w:rPr>
      </w:pPr>
    </w:p>
    <w:p>
      <w:pPr>
        <w:ind w:left="2040"/>
        <w:spacing w:after="0"/>
        <w:rPr>
          <w:sz w:val="20"/>
          <w:szCs w:val="20"/>
          <w:color w:val="auto"/>
        </w:rPr>
      </w:pPr>
      <w:r>
        <w:rPr>
          <w:rFonts w:ascii="Calibri" w:cs="Calibri" w:eastAsia="Calibri" w:hAnsi="Calibri"/>
          <w:sz w:val="22"/>
          <w:szCs w:val="22"/>
          <w:color w:val="auto"/>
        </w:rPr>
        <w:t>(articolo 40, comma 3-sexies, Decreto Legislativo n. 165 del 2001</w:t>
      </w:r>
    </w:p>
    <w:p>
      <w:pPr>
        <w:spacing w:after="0" w:line="155" w:lineRule="exact"/>
        <w:rPr>
          <w:sz w:val="24"/>
          <w:szCs w:val="24"/>
          <w:color w:val="auto"/>
        </w:rPr>
      </w:pPr>
    </w:p>
    <w:p>
      <w:pPr>
        <w:ind w:left="1960"/>
        <w:spacing w:after="0"/>
        <w:rPr>
          <w:sz w:val="20"/>
          <w:szCs w:val="20"/>
          <w:color w:val="auto"/>
        </w:rPr>
      </w:pPr>
      <w:r>
        <w:rPr>
          <w:rFonts w:ascii="Calibri" w:cs="Calibri" w:eastAsia="Calibri" w:hAnsi="Calibri"/>
          <w:sz w:val="20"/>
          <w:szCs w:val="20"/>
          <w:i w:val="1"/>
          <w:iCs w:val="1"/>
          <w:color w:val="auto"/>
        </w:rPr>
        <w:t>Redatta secondo lo schema allegato alla Circolare MEF-RGS n.25 del 19/07/2012</w:t>
      </w:r>
    </w:p>
    <w:p>
      <w:pPr>
        <w:spacing w:after="0" w:line="123" w:lineRule="exact"/>
        <w:rPr>
          <w:sz w:val="24"/>
          <w:szCs w:val="24"/>
          <w:color w:val="auto"/>
        </w:rPr>
      </w:pPr>
    </w:p>
    <w:p>
      <w:pPr>
        <w:jc w:val="both"/>
        <w:ind w:left="120"/>
        <w:spacing w:after="0" w:line="245" w:lineRule="auto"/>
        <w:rPr>
          <w:sz w:val="20"/>
          <w:szCs w:val="20"/>
          <w:color w:val="auto"/>
        </w:rPr>
      </w:pPr>
      <w:r>
        <w:rPr>
          <w:rFonts w:ascii="Calibri" w:cs="Calibri" w:eastAsia="Calibri" w:hAnsi="Calibri"/>
          <w:sz w:val="22"/>
          <w:szCs w:val="22"/>
          <w:b w:val="1"/>
          <w:bCs w:val="1"/>
          <w:color w:val="auto"/>
        </w:rPr>
        <w:t>Allegata all’Atto Unilaterale in materia di determinazione e utilizzazione del fondo regionale per la retribuzione di posizione e di risultato relative ai dirigenti scolastici in servizio nella regione Abruzzo - anno scolastico 2014-15.</w:t>
      </w:r>
    </w:p>
    <w:p>
      <w:pPr>
        <w:spacing w:after="0" w:line="200" w:lineRule="exact"/>
        <w:rPr>
          <w:sz w:val="24"/>
          <w:szCs w:val="24"/>
          <w:color w:val="auto"/>
        </w:rPr>
      </w:pPr>
    </w:p>
    <w:p>
      <w:pPr>
        <w:spacing w:after="0" w:line="200" w:lineRule="exact"/>
        <w:rPr>
          <w:sz w:val="24"/>
          <w:szCs w:val="24"/>
          <w:color w:val="auto"/>
        </w:rPr>
      </w:pPr>
    </w:p>
    <w:p>
      <w:pPr>
        <w:spacing w:after="0" w:line="216" w:lineRule="exact"/>
        <w:rPr>
          <w:sz w:val="24"/>
          <w:szCs w:val="24"/>
          <w:color w:val="auto"/>
        </w:rPr>
      </w:pPr>
    </w:p>
    <w:p>
      <w:pPr>
        <w:ind w:left="120"/>
        <w:spacing w:after="0"/>
        <w:rPr>
          <w:sz w:val="20"/>
          <w:szCs w:val="20"/>
          <w:color w:val="auto"/>
        </w:rPr>
      </w:pPr>
      <w:r>
        <w:rPr>
          <w:rFonts w:ascii="Calibri" w:cs="Calibri" w:eastAsia="Calibri" w:hAnsi="Calibri"/>
          <w:sz w:val="22"/>
          <w:szCs w:val="22"/>
          <w:b w:val="1"/>
          <w:bCs w:val="1"/>
          <w:i w:val="1"/>
          <w:iCs w:val="1"/>
          <w:color w:val="auto"/>
        </w:rPr>
        <w:t>I.1 - Obiettivi</w:t>
      </w:r>
    </w:p>
    <w:p>
      <w:pPr>
        <w:spacing w:after="0" w:line="391"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53340</wp:posOffset>
                </wp:positionH>
                <wp:positionV relativeFrom="paragraph">
                  <wp:posOffset>17780</wp:posOffset>
                </wp:positionV>
                <wp:extent cx="6156960" cy="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156960" cy="0"/>
                        </a:xfrm>
                        <a:prstGeom prst="line">
                          <a:avLst/>
                        </a:prstGeom>
                        <a:solidFill>
                          <a:srgbClr val="FFFFFF"/>
                        </a:solidFill>
                        <a:ln w="6108">
                          <a:solidFill>
                            <a:srgbClr val="C0C0C0"/>
                          </a:solidFill>
                          <a:miter lim="800000"/>
                          <a:headEnd/>
                          <a:tailEnd/>
                        </a:ln>
                      </wps:spPr>
                      <wps:bodyPr/>
                    </wps:wsp>
                  </a:graphicData>
                </a:graphic>
              </wp:anchor>
            </w:drawing>
          </mc:Choice>
          <mc:Fallback>
            <w:pict>
              <v:line id="Shape 2" o:spid="_x0000_s102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2pt,1.4pt" to="489pt,1.4pt" o:allowincell="f" strokecolor="#C0C0C0" strokeweight="0.4809pt"/>
            </w:pict>
          </mc:Fallback>
        </mc:AlternateContent>
      </w:r>
    </w:p>
    <w:p>
      <w:pPr>
        <w:ind w:left="4020"/>
        <w:spacing w:after="0"/>
        <w:rPr>
          <w:sz w:val="20"/>
          <w:szCs w:val="20"/>
          <w:color w:val="auto"/>
        </w:rPr>
      </w:pPr>
      <w:r>
        <w:rPr>
          <w:rFonts w:ascii="Calibri" w:cs="Calibri" w:eastAsia="Calibri" w:hAnsi="Calibri"/>
          <w:sz w:val="20"/>
          <w:szCs w:val="20"/>
          <w:b w:val="1"/>
          <w:bCs w:val="1"/>
          <w:i w:val="1"/>
          <w:iCs w:val="1"/>
          <w:color w:val="auto"/>
        </w:rPr>
        <w:t>Modulo 1 - Scheda 1.1</w:t>
      </w:r>
    </w:p>
    <w:p>
      <w:pPr>
        <w:spacing w:after="0" w:line="121" w:lineRule="exact"/>
        <w:rPr>
          <w:sz w:val="24"/>
          <w:szCs w:val="24"/>
          <w:color w:val="auto"/>
        </w:rPr>
      </w:pPr>
    </w:p>
    <w:p>
      <w:pPr>
        <w:ind w:left="3900" w:right="160" w:hanging="3633"/>
        <w:spacing w:after="0" w:line="249" w:lineRule="auto"/>
        <w:rPr>
          <w:sz w:val="20"/>
          <w:szCs w:val="20"/>
          <w:color w:val="auto"/>
        </w:rPr>
      </w:pPr>
      <w:r>
        <w:rPr>
          <w:rFonts w:ascii="Calibri" w:cs="Calibri" w:eastAsia="Calibri" w:hAnsi="Calibri"/>
          <w:sz w:val="20"/>
          <w:szCs w:val="20"/>
          <w:b w:val="1"/>
          <w:bCs w:val="1"/>
          <w:i w:val="1"/>
          <w:iCs w:val="1"/>
          <w:color w:val="auto"/>
        </w:rPr>
        <w:t>Illustrazione degli aspetti procedurali, sintesi del contenuto del provvedimento ed autodichiarazione relative agli adempimenti della legge</w:t>
      </w:r>
    </w:p>
    <w:p>
      <w:pPr>
        <w:spacing w:after="0" w:line="84" w:lineRule="exact"/>
        <w:rPr>
          <w:sz w:val="24"/>
          <w:szCs w:val="24"/>
          <w:color w:val="auto"/>
        </w:rPr>
      </w:pPr>
    </w:p>
    <w:tbl>
      <w:tblPr>
        <w:tblLayout w:type="fixed"/>
        <w:tblInd w:w="10" w:type="dxa"/>
        <w:tblCellMar>
          <w:top w:w="0" w:type="dxa"/>
          <w:left w:w="0" w:type="dxa"/>
          <w:bottom w:w="0" w:type="dxa"/>
          <w:right w:w="0" w:type="dxa"/>
        </w:tblCellMar>
      </w:tblPr>
      <w:tr>
        <w:trPr>
          <w:trHeight w:val="270"/>
        </w:trPr>
        <w:tc>
          <w:tcPr>
            <w:tcW w:w="3380" w:type="dxa"/>
            <w:vAlign w:val="bottom"/>
            <w:tcBorders>
              <w:top w:val="single" w:sz="8" w:color="auto"/>
              <w:left w:val="single" w:sz="8" w:color="auto"/>
              <w:right w:val="single" w:sz="8" w:color="auto"/>
            </w:tcBorders>
            <w:gridSpan w:val="3"/>
          </w:tcPr>
          <w:p>
            <w:pPr>
              <w:ind w:left="120"/>
              <w:spacing w:after="0"/>
              <w:rPr>
                <w:sz w:val="20"/>
                <w:szCs w:val="20"/>
                <w:color w:val="auto"/>
              </w:rPr>
            </w:pPr>
            <w:r>
              <w:rPr>
                <w:rFonts w:ascii="Calibri" w:cs="Calibri" w:eastAsia="Calibri" w:hAnsi="Calibri"/>
                <w:sz w:val="20"/>
                <w:szCs w:val="20"/>
                <w:b w:val="1"/>
                <w:bCs w:val="1"/>
                <w:color w:val="auto"/>
              </w:rPr>
              <w:t>Data di sottoscrizione</w:t>
            </w:r>
          </w:p>
        </w:tc>
        <w:tc>
          <w:tcPr>
            <w:tcW w:w="6240" w:type="dxa"/>
            <w:vAlign w:val="bottom"/>
            <w:tcBorders>
              <w:top w:val="single" w:sz="8" w:color="auto"/>
              <w:right w:val="single" w:sz="8" w:color="auto"/>
            </w:tcBorders>
          </w:tcPr>
          <w:p>
            <w:pPr>
              <w:ind w:left="160"/>
              <w:spacing w:after="0"/>
              <w:rPr>
                <w:sz w:val="20"/>
                <w:szCs w:val="20"/>
                <w:color w:val="auto"/>
              </w:rPr>
            </w:pPr>
            <w:r>
              <w:rPr>
                <w:rFonts w:ascii="Times New Roman" w:cs="Times New Roman" w:eastAsia="Times New Roman" w:hAnsi="Times New Roman"/>
                <w:sz w:val="20"/>
                <w:szCs w:val="20"/>
                <w:color w:val="auto"/>
              </w:rPr>
              <w:t>23 novembre 2016</w:t>
            </w:r>
          </w:p>
        </w:tc>
        <w:tc>
          <w:tcPr>
            <w:tcW w:w="0" w:type="dxa"/>
            <w:vAlign w:val="bottom"/>
          </w:tcPr>
          <w:p>
            <w:pPr>
              <w:spacing w:after="0"/>
              <w:rPr>
                <w:sz w:val="1"/>
                <w:szCs w:val="1"/>
                <w:color w:val="auto"/>
              </w:rPr>
            </w:pPr>
          </w:p>
        </w:tc>
      </w:tr>
      <w:tr>
        <w:trPr>
          <w:trHeight w:val="105"/>
        </w:trPr>
        <w:tc>
          <w:tcPr>
            <w:tcW w:w="1540" w:type="dxa"/>
            <w:vAlign w:val="bottom"/>
            <w:tcBorders>
              <w:left w:val="single" w:sz="8" w:color="auto"/>
              <w:bottom w:val="single" w:sz="8" w:color="auto"/>
            </w:tcBorders>
            <w:gridSpan w:val="2"/>
          </w:tcPr>
          <w:p>
            <w:pPr>
              <w:spacing w:after="0"/>
              <w:rPr>
                <w:sz w:val="9"/>
                <w:szCs w:val="9"/>
                <w:color w:val="auto"/>
              </w:rPr>
            </w:pPr>
          </w:p>
        </w:tc>
        <w:tc>
          <w:tcPr>
            <w:tcW w:w="1840" w:type="dxa"/>
            <w:vAlign w:val="bottom"/>
            <w:tcBorders>
              <w:bottom w:val="single" w:sz="8" w:color="auto"/>
              <w:right w:val="single" w:sz="8" w:color="auto"/>
            </w:tcBorders>
          </w:tcPr>
          <w:p>
            <w:pPr>
              <w:spacing w:after="0"/>
              <w:rPr>
                <w:sz w:val="9"/>
                <w:szCs w:val="9"/>
                <w:color w:val="auto"/>
              </w:rPr>
            </w:pPr>
          </w:p>
        </w:tc>
        <w:tc>
          <w:tcPr>
            <w:tcW w:w="6240" w:type="dxa"/>
            <w:vAlign w:val="bottom"/>
            <w:tcBorders>
              <w:bottom w:val="single" w:sz="8" w:color="auto"/>
              <w:right w:val="single" w:sz="8" w:color="auto"/>
            </w:tcBorders>
          </w:tcPr>
          <w:p>
            <w:pPr>
              <w:spacing w:after="0"/>
              <w:rPr>
                <w:sz w:val="9"/>
                <w:szCs w:val="9"/>
                <w:color w:val="auto"/>
              </w:rPr>
            </w:pPr>
          </w:p>
        </w:tc>
        <w:tc>
          <w:tcPr>
            <w:tcW w:w="0" w:type="dxa"/>
            <w:vAlign w:val="bottom"/>
          </w:tcPr>
          <w:p>
            <w:pPr>
              <w:spacing w:after="0"/>
              <w:rPr>
                <w:sz w:val="1"/>
                <w:szCs w:val="1"/>
                <w:color w:val="auto"/>
              </w:rPr>
            </w:pPr>
          </w:p>
        </w:tc>
      </w:tr>
      <w:tr>
        <w:trPr>
          <w:trHeight w:val="277"/>
        </w:trPr>
        <w:tc>
          <w:tcPr>
            <w:tcW w:w="3380" w:type="dxa"/>
            <w:vAlign w:val="bottom"/>
            <w:tcBorders>
              <w:left w:val="single" w:sz="8" w:color="auto"/>
              <w:right w:val="single" w:sz="8" w:color="auto"/>
            </w:tcBorders>
            <w:gridSpan w:val="3"/>
          </w:tcPr>
          <w:p>
            <w:pPr>
              <w:ind w:left="120"/>
              <w:spacing w:after="0"/>
              <w:rPr>
                <w:sz w:val="20"/>
                <w:szCs w:val="20"/>
                <w:color w:val="auto"/>
              </w:rPr>
            </w:pPr>
            <w:r>
              <w:rPr>
                <w:rFonts w:ascii="Calibri" w:cs="Calibri" w:eastAsia="Calibri" w:hAnsi="Calibri"/>
                <w:sz w:val="20"/>
                <w:szCs w:val="20"/>
                <w:b w:val="1"/>
                <w:bCs w:val="1"/>
                <w:color w:val="auto"/>
              </w:rPr>
              <w:t>Periodo temporale di vigenza</w:t>
            </w:r>
          </w:p>
        </w:tc>
        <w:tc>
          <w:tcPr>
            <w:tcW w:w="6240" w:type="dxa"/>
            <w:vAlign w:val="bottom"/>
            <w:tcBorders>
              <w:right w:val="single" w:sz="8" w:color="auto"/>
            </w:tcBorders>
          </w:tcPr>
          <w:p>
            <w:pPr>
              <w:ind w:left="100"/>
              <w:spacing w:after="0"/>
              <w:rPr>
                <w:sz w:val="20"/>
                <w:szCs w:val="20"/>
                <w:color w:val="auto"/>
              </w:rPr>
            </w:pPr>
            <w:r>
              <w:rPr>
                <w:rFonts w:ascii="Times New Roman" w:cs="Times New Roman" w:eastAsia="Times New Roman" w:hAnsi="Times New Roman"/>
                <w:sz w:val="22"/>
                <w:szCs w:val="22"/>
                <w:color w:val="auto"/>
              </w:rPr>
              <w:t>Dal 1° settembre 2014 al 31 agosto 2015</w:t>
            </w:r>
          </w:p>
        </w:tc>
        <w:tc>
          <w:tcPr>
            <w:tcW w:w="0" w:type="dxa"/>
            <w:vAlign w:val="bottom"/>
          </w:tcPr>
          <w:p>
            <w:pPr>
              <w:spacing w:after="0"/>
              <w:rPr>
                <w:sz w:val="1"/>
                <w:szCs w:val="1"/>
                <w:color w:val="auto"/>
              </w:rPr>
            </w:pPr>
          </w:p>
        </w:tc>
      </w:tr>
      <w:tr>
        <w:trPr>
          <w:trHeight w:val="87"/>
        </w:trPr>
        <w:tc>
          <w:tcPr>
            <w:tcW w:w="240" w:type="dxa"/>
            <w:vAlign w:val="bottom"/>
            <w:tcBorders>
              <w:left w:val="single" w:sz="8" w:color="auto"/>
              <w:bottom w:val="single" w:sz="8" w:color="auto"/>
            </w:tcBorders>
          </w:tcPr>
          <w:p>
            <w:pPr>
              <w:spacing w:after="0"/>
              <w:rPr>
                <w:sz w:val="7"/>
                <w:szCs w:val="7"/>
                <w:color w:val="auto"/>
              </w:rPr>
            </w:pPr>
          </w:p>
        </w:tc>
        <w:tc>
          <w:tcPr>
            <w:tcW w:w="1300" w:type="dxa"/>
            <w:vAlign w:val="bottom"/>
            <w:tcBorders>
              <w:bottom w:val="single" w:sz="8" w:color="auto"/>
            </w:tcBorders>
          </w:tcPr>
          <w:p>
            <w:pPr>
              <w:spacing w:after="0"/>
              <w:rPr>
                <w:sz w:val="7"/>
                <w:szCs w:val="7"/>
                <w:color w:val="auto"/>
              </w:rPr>
            </w:pPr>
          </w:p>
        </w:tc>
        <w:tc>
          <w:tcPr>
            <w:tcW w:w="1840" w:type="dxa"/>
            <w:vAlign w:val="bottom"/>
            <w:tcBorders>
              <w:bottom w:val="single" w:sz="8" w:color="auto"/>
              <w:right w:val="single" w:sz="8" w:color="auto"/>
            </w:tcBorders>
          </w:tcPr>
          <w:p>
            <w:pPr>
              <w:spacing w:after="0"/>
              <w:rPr>
                <w:sz w:val="7"/>
                <w:szCs w:val="7"/>
                <w:color w:val="auto"/>
              </w:rPr>
            </w:pPr>
          </w:p>
        </w:tc>
        <w:tc>
          <w:tcPr>
            <w:tcW w:w="6240" w:type="dxa"/>
            <w:vAlign w:val="bottom"/>
            <w:tcBorders>
              <w:bottom w:val="single" w:sz="8" w:color="auto"/>
              <w:right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41"/>
        </w:trPr>
        <w:tc>
          <w:tcPr>
            <w:tcW w:w="240" w:type="dxa"/>
            <w:vAlign w:val="bottom"/>
            <w:tcBorders>
              <w:left w:val="single" w:sz="8" w:color="auto"/>
            </w:tcBorders>
          </w:tcPr>
          <w:p>
            <w:pPr>
              <w:spacing w:after="0"/>
              <w:rPr>
                <w:sz w:val="20"/>
                <w:szCs w:val="20"/>
                <w:color w:val="auto"/>
              </w:rPr>
            </w:pPr>
          </w:p>
        </w:tc>
        <w:tc>
          <w:tcPr>
            <w:tcW w:w="1300" w:type="dxa"/>
            <w:vAlign w:val="bottom"/>
          </w:tcPr>
          <w:p>
            <w:pPr>
              <w:spacing w:after="0"/>
              <w:rPr>
                <w:sz w:val="20"/>
                <w:szCs w:val="20"/>
                <w:color w:val="auto"/>
              </w:rPr>
            </w:pPr>
          </w:p>
        </w:tc>
        <w:tc>
          <w:tcPr>
            <w:tcW w:w="1840" w:type="dxa"/>
            <w:vAlign w:val="bottom"/>
            <w:tcBorders>
              <w:right w:val="single" w:sz="8" w:color="auto"/>
            </w:tcBorders>
          </w:tcPr>
          <w:p>
            <w:pPr>
              <w:spacing w:after="0"/>
              <w:rPr>
                <w:sz w:val="20"/>
                <w:szCs w:val="20"/>
                <w:color w:val="auto"/>
              </w:rPr>
            </w:pPr>
          </w:p>
        </w:tc>
        <w:tc>
          <w:tcPr>
            <w:tcW w:w="6240" w:type="dxa"/>
            <w:vAlign w:val="bottom"/>
            <w:tcBorders>
              <w:right w:val="single" w:sz="8" w:color="auto"/>
            </w:tcBorders>
          </w:tcPr>
          <w:p>
            <w:pPr>
              <w:ind w:left="100"/>
              <w:spacing w:after="0" w:line="241" w:lineRule="exact"/>
              <w:rPr>
                <w:sz w:val="20"/>
                <w:szCs w:val="20"/>
                <w:color w:val="auto"/>
              </w:rPr>
            </w:pPr>
            <w:r>
              <w:rPr>
                <w:rFonts w:ascii="Calibri" w:cs="Calibri" w:eastAsia="Calibri" w:hAnsi="Calibri"/>
                <w:sz w:val="20"/>
                <w:szCs w:val="20"/>
                <w:color w:val="auto"/>
              </w:rPr>
              <w:t>Parte Pubblica (ruoli/qualifiche ricoperti):</w:t>
            </w:r>
          </w:p>
        </w:tc>
        <w:tc>
          <w:tcPr>
            <w:tcW w:w="0" w:type="dxa"/>
            <w:vAlign w:val="bottom"/>
          </w:tcPr>
          <w:p>
            <w:pPr>
              <w:spacing w:after="0"/>
              <w:rPr>
                <w:sz w:val="1"/>
                <w:szCs w:val="1"/>
                <w:color w:val="auto"/>
              </w:rPr>
            </w:pPr>
          </w:p>
        </w:tc>
      </w:tr>
      <w:tr>
        <w:trPr>
          <w:trHeight w:val="378"/>
        </w:trPr>
        <w:tc>
          <w:tcPr>
            <w:tcW w:w="240" w:type="dxa"/>
            <w:vAlign w:val="bottom"/>
            <w:tcBorders>
              <w:left w:val="single" w:sz="8" w:color="auto"/>
            </w:tcBorders>
          </w:tcPr>
          <w:p>
            <w:pPr>
              <w:spacing w:after="0"/>
              <w:rPr>
                <w:sz w:val="24"/>
                <w:szCs w:val="24"/>
                <w:color w:val="auto"/>
              </w:rPr>
            </w:pPr>
          </w:p>
        </w:tc>
        <w:tc>
          <w:tcPr>
            <w:tcW w:w="1300" w:type="dxa"/>
            <w:vAlign w:val="bottom"/>
          </w:tcPr>
          <w:p>
            <w:pPr>
              <w:spacing w:after="0"/>
              <w:rPr>
                <w:sz w:val="24"/>
                <w:szCs w:val="24"/>
                <w:color w:val="auto"/>
              </w:rPr>
            </w:pPr>
          </w:p>
        </w:tc>
        <w:tc>
          <w:tcPr>
            <w:tcW w:w="1840" w:type="dxa"/>
            <w:vAlign w:val="bottom"/>
            <w:tcBorders>
              <w:right w:val="single" w:sz="8" w:color="auto"/>
            </w:tcBorders>
          </w:tcPr>
          <w:p>
            <w:pPr>
              <w:spacing w:after="0"/>
              <w:rPr>
                <w:sz w:val="24"/>
                <w:szCs w:val="24"/>
                <w:color w:val="auto"/>
              </w:rPr>
            </w:pPr>
          </w:p>
        </w:tc>
        <w:tc>
          <w:tcPr>
            <w:tcW w:w="6240" w:type="dxa"/>
            <w:vAlign w:val="bottom"/>
            <w:tcBorders>
              <w:right w:val="single" w:sz="8" w:color="auto"/>
            </w:tcBorders>
          </w:tcPr>
          <w:p>
            <w:pPr>
              <w:ind w:left="100"/>
              <w:spacing w:after="0"/>
              <w:rPr>
                <w:sz w:val="20"/>
                <w:szCs w:val="20"/>
                <w:color w:val="auto"/>
              </w:rPr>
            </w:pPr>
            <w:r>
              <w:rPr>
                <w:rFonts w:ascii="Times New Roman" w:cs="Times New Roman" w:eastAsia="Times New Roman" w:hAnsi="Times New Roman"/>
                <w:sz w:val="22"/>
                <w:szCs w:val="22"/>
                <w:color w:val="auto"/>
              </w:rPr>
              <w:t>parte non pertinente allo specifico provvedimento illustrato</w:t>
            </w:r>
          </w:p>
        </w:tc>
        <w:tc>
          <w:tcPr>
            <w:tcW w:w="0" w:type="dxa"/>
            <w:vAlign w:val="bottom"/>
          </w:tcPr>
          <w:p>
            <w:pPr>
              <w:spacing w:after="0"/>
              <w:rPr>
                <w:sz w:val="1"/>
                <w:szCs w:val="1"/>
                <w:color w:val="auto"/>
              </w:rPr>
            </w:pPr>
          </w:p>
        </w:tc>
      </w:tr>
      <w:tr>
        <w:trPr>
          <w:trHeight w:val="413"/>
        </w:trPr>
        <w:tc>
          <w:tcPr>
            <w:tcW w:w="1540" w:type="dxa"/>
            <w:vAlign w:val="bottom"/>
            <w:tcBorders>
              <w:left w:val="single" w:sz="8" w:color="auto"/>
            </w:tcBorders>
            <w:gridSpan w:val="2"/>
          </w:tcPr>
          <w:p>
            <w:pPr>
              <w:ind w:left="120"/>
              <w:spacing w:after="0"/>
              <w:rPr>
                <w:sz w:val="20"/>
                <w:szCs w:val="20"/>
                <w:color w:val="auto"/>
              </w:rPr>
            </w:pPr>
            <w:r>
              <w:rPr>
                <w:rFonts w:ascii="Calibri" w:cs="Calibri" w:eastAsia="Calibri" w:hAnsi="Calibri"/>
                <w:sz w:val="20"/>
                <w:szCs w:val="20"/>
                <w:b w:val="1"/>
                <w:bCs w:val="1"/>
                <w:color w:val="auto"/>
              </w:rPr>
              <w:t>Composizione</w:t>
            </w:r>
          </w:p>
        </w:tc>
        <w:tc>
          <w:tcPr>
            <w:tcW w:w="1840" w:type="dxa"/>
            <w:vAlign w:val="bottom"/>
            <w:tcBorders>
              <w:right w:val="single" w:sz="8" w:color="auto"/>
            </w:tcBorders>
          </w:tcPr>
          <w:p>
            <w:pPr>
              <w:spacing w:after="0"/>
              <w:rPr>
                <w:sz w:val="24"/>
                <w:szCs w:val="24"/>
                <w:color w:val="auto"/>
              </w:rPr>
            </w:pPr>
          </w:p>
        </w:tc>
        <w:tc>
          <w:tcPr>
            <w:tcW w:w="6240" w:type="dxa"/>
            <w:vAlign w:val="bottom"/>
            <w:tcBorders>
              <w:right w:val="single" w:sz="8" w:color="auto"/>
            </w:tcBorders>
          </w:tcPr>
          <w:p>
            <w:pPr>
              <w:ind w:left="100"/>
              <w:spacing w:after="0"/>
              <w:rPr>
                <w:sz w:val="20"/>
                <w:szCs w:val="20"/>
                <w:color w:val="auto"/>
              </w:rPr>
            </w:pPr>
            <w:r>
              <w:rPr>
                <w:rFonts w:ascii="Calibri" w:cs="Calibri" w:eastAsia="Calibri" w:hAnsi="Calibri"/>
                <w:sz w:val="20"/>
                <w:szCs w:val="20"/>
                <w:color w:val="auto"/>
              </w:rPr>
              <w:t>Organizzazioni sindacali ammesse alla contrattazione (elenco sigle):</w:t>
            </w:r>
          </w:p>
        </w:tc>
        <w:tc>
          <w:tcPr>
            <w:tcW w:w="0" w:type="dxa"/>
            <w:vAlign w:val="bottom"/>
          </w:tcPr>
          <w:p>
            <w:pPr>
              <w:spacing w:after="0"/>
              <w:rPr>
                <w:sz w:val="1"/>
                <w:szCs w:val="1"/>
                <w:color w:val="auto"/>
              </w:rPr>
            </w:pPr>
          </w:p>
        </w:tc>
      </w:tr>
      <w:tr>
        <w:trPr>
          <w:trHeight w:val="324"/>
        </w:trPr>
        <w:tc>
          <w:tcPr>
            <w:tcW w:w="3380" w:type="dxa"/>
            <w:vAlign w:val="bottom"/>
            <w:tcBorders>
              <w:left w:val="single" w:sz="8" w:color="auto"/>
              <w:right w:val="single" w:sz="8" w:color="auto"/>
            </w:tcBorders>
            <w:gridSpan w:val="3"/>
          </w:tcPr>
          <w:p>
            <w:pPr>
              <w:ind w:left="120"/>
              <w:spacing w:after="0"/>
              <w:rPr>
                <w:sz w:val="20"/>
                <w:szCs w:val="20"/>
                <w:color w:val="auto"/>
              </w:rPr>
            </w:pPr>
            <w:r>
              <w:rPr>
                <w:rFonts w:ascii="Calibri" w:cs="Calibri" w:eastAsia="Calibri" w:hAnsi="Calibri"/>
                <w:sz w:val="20"/>
                <w:szCs w:val="20"/>
                <w:b w:val="1"/>
                <w:bCs w:val="1"/>
                <w:color w:val="auto"/>
              </w:rPr>
              <w:t>della delegazione trattante</w:t>
            </w:r>
          </w:p>
        </w:tc>
        <w:tc>
          <w:tcPr>
            <w:tcW w:w="6240" w:type="dxa"/>
            <w:vAlign w:val="bottom"/>
            <w:tcBorders>
              <w:right w:val="single" w:sz="8" w:color="auto"/>
            </w:tcBorders>
          </w:tcPr>
          <w:p>
            <w:pPr>
              <w:ind w:left="100"/>
              <w:spacing w:after="0"/>
              <w:rPr>
                <w:sz w:val="20"/>
                <w:szCs w:val="20"/>
                <w:color w:val="auto"/>
              </w:rPr>
            </w:pPr>
            <w:r>
              <w:rPr>
                <w:rFonts w:ascii="Times New Roman" w:cs="Times New Roman" w:eastAsia="Times New Roman" w:hAnsi="Times New Roman"/>
                <w:sz w:val="22"/>
                <w:szCs w:val="22"/>
                <w:color w:val="auto"/>
              </w:rPr>
              <w:t>parte non pertinente allo specifico provvedimento illustrato</w:t>
            </w:r>
          </w:p>
        </w:tc>
        <w:tc>
          <w:tcPr>
            <w:tcW w:w="0" w:type="dxa"/>
            <w:vAlign w:val="bottom"/>
          </w:tcPr>
          <w:p>
            <w:pPr>
              <w:spacing w:after="0"/>
              <w:rPr>
                <w:sz w:val="1"/>
                <w:szCs w:val="1"/>
                <w:color w:val="auto"/>
              </w:rPr>
            </w:pPr>
          </w:p>
        </w:tc>
      </w:tr>
      <w:tr>
        <w:trPr>
          <w:trHeight w:val="356"/>
        </w:trPr>
        <w:tc>
          <w:tcPr>
            <w:tcW w:w="240" w:type="dxa"/>
            <w:vAlign w:val="bottom"/>
            <w:tcBorders>
              <w:left w:val="single" w:sz="8" w:color="auto"/>
            </w:tcBorders>
          </w:tcPr>
          <w:p>
            <w:pPr>
              <w:spacing w:after="0"/>
              <w:rPr>
                <w:sz w:val="24"/>
                <w:szCs w:val="24"/>
                <w:color w:val="auto"/>
              </w:rPr>
            </w:pPr>
          </w:p>
        </w:tc>
        <w:tc>
          <w:tcPr>
            <w:tcW w:w="1300" w:type="dxa"/>
            <w:vAlign w:val="bottom"/>
          </w:tcPr>
          <w:p>
            <w:pPr>
              <w:spacing w:after="0"/>
              <w:rPr>
                <w:sz w:val="24"/>
                <w:szCs w:val="24"/>
                <w:color w:val="auto"/>
              </w:rPr>
            </w:pPr>
          </w:p>
        </w:tc>
        <w:tc>
          <w:tcPr>
            <w:tcW w:w="1840" w:type="dxa"/>
            <w:vAlign w:val="bottom"/>
            <w:tcBorders>
              <w:right w:val="single" w:sz="8" w:color="auto"/>
            </w:tcBorders>
          </w:tcPr>
          <w:p>
            <w:pPr>
              <w:spacing w:after="0"/>
              <w:rPr>
                <w:sz w:val="24"/>
                <w:szCs w:val="24"/>
                <w:color w:val="auto"/>
              </w:rPr>
            </w:pPr>
          </w:p>
        </w:tc>
        <w:tc>
          <w:tcPr>
            <w:tcW w:w="6240" w:type="dxa"/>
            <w:vAlign w:val="bottom"/>
            <w:tcBorders>
              <w:right w:val="single" w:sz="8" w:color="auto"/>
            </w:tcBorders>
          </w:tcPr>
          <w:p>
            <w:pPr>
              <w:ind w:left="100"/>
              <w:spacing w:after="0"/>
              <w:rPr>
                <w:sz w:val="20"/>
                <w:szCs w:val="20"/>
                <w:color w:val="auto"/>
              </w:rPr>
            </w:pPr>
            <w:r>
              <w:rPr>
                <w:rFonts w:ascii="Calibri" w:cs="Calibri" w:eastAsia="Calibri" w:hAnsi="Calibri"/>
                <w:sz w:val="20"/>
                <w:szCs w:val="20"/>
                <w:color w:val="auto"/>
              </w:rPr>
              <w:t>Organizzazioni sindacali firmatarie (elenco sigle):</w:t>
            </w:r>
          </w:p>
        </w:tc>
        <w:tc>
          <w:tcPr>
            <w:tcW w:w="0" w:type="dxa"/>
            <w:vAlign w:val="bottom"/>
          </w:tcPr>
          <w:p>
            <w:pPr>
              <w:spacing w:after="0"/>
              <w:rPr>
                <w:sz w:val="1"/>
                <w:szCs w:val="1"/>
                <w:color w:val="auto"/>
              </w:rPr>
            </w:pPr>
          </w:p>
        </w:tc>
      </w:tr>
      <w:tr>
        <w:trPr>
          <w:trHeight w:val="380"/>
        </w:trPr>
        <w:tc>
          <w:tcPr>
            <w:tcW w:w="240" w:type="dxa"/>
            <w:vAlign w:val="bottom"/>
            <w:tcBorders>
              <w:left w:val="single" w:sz="8" w:color="auto"/>
            </w:tcBorders>
          </w:tcPr>
          <w:p>
            <w:pPr>
              <w:spacing w:after="0"/>
              <w:rPr>
                <w:sz w:val="24"/>
                <w:szCs w:val="24"/>
                <w:color w:val="auto"/>
              </w:rPr>
            </w:pPr>
          </w:p>
        </w:tc>
        <w:tc>
          <w:tcPr>
            <w:tcW w:w="1300" w:type="dxa"/>
            <w:vAlign w:val="bottom"/>
          </w:tcPr>
          <w:p>
            <w:pPr>
              <w:spacing w:after="0"/>
              <w:rPr>
                <w:sz w:val="24"/>
                <w:szCs w:val="24"/>
                <w:color w:val="auto"/>
              </w:rPr>
            </w:pPr>
          </w:p>
        </w:tc>
        <w:tc>
          <w:tcPr>
            <w:tcW w:w="1840" w:type="dxa"/>
            <w:vAlign w:val="bottom"/>
            <w:tcBorders>
              <w:right w:val="single" w:sz="8" w:color="auto"/>
            </w:tcBorders>
          </w:tcPr>
          <w:p>
            <w:pPr>
              <w:spacing w:after="0"/>
              <w:rPr>
                <w:sz w:val="24"/>
                <w:szCs w:val="24"/>
                <w:color w:val="auto"/>
              </w:rPr>
            </w:pPr>
          </w:p>
        </w:tc>
        <w:tc>
          <w:tcPr>
            <w:tcW w:w="6240" w:type="dxa"/>
            <w:vAlign w:val="bottom"/>
            <w:tcBorders>
              <w:right w:val="single" w:sz="8" w:color="auto"/>
            </w:tcBorders>
          </w:tcPr>
          <w:p>
            <w:pPr>
              <w:ind w:left="100"/>
              <w:spacing w:after="0"/>
              <w:rPr>
                <w:sz w:val="20"/>
                <w:szCs w:val="20"/>
                <w:color w:val="auto"/>
              </w:rPr>
            </w:pPr>
            <w:r>
              <w:rPr>
                <w:rFonts w:ascii="Times New Roman" w:cs="Times New Roman" w:eastAsia="Times New Roman" w:hAnsi="Times New Roman"/>
                <w:sz w:val="22"/>
                <w:szCs w:val="22"/>
                <w:color w:val="auto"/>
              </w:rPr>
              <w:t>parte non pertinente allo specifico provvedimento illustrato</w:t>
            </w:r>
          </w:p>
        </w:tc>
        <w:tc>
          <w:tcPr>
            <w:tcW w:w="0" w:type="dxa"/>
            <w:vAlign w:val="bottom"/>
          </w:tcPr>
          <w:p>
            <w:pPr>
              <w:spacing w:after="0"/>
              <w:rPr>
                <w:sz w:val="1"/>
                <w:szCs w:val="1"/>
                <w:color w:val="auto"/>
              </w:rPr>
            </w:pPr>
          </w:p>
        </w:tc>
      </w:tr>
      <w:tr>
        <w:trPr>
          <w:trHeight w:val="107"/>
        </w:trPr>
        <w:tc>
          <w:tcPr>
            <w:tcW w:w="240" w:type="dxa"/>
            <w:vAlign w:val="bottom"/>
            <w:tcBorders>
              <w:left w:val="single" w:sz="8" w:color="auto"/>
              <w:bottom w:val="single" w:sz="8" w:color="auto"/>
            </w:tcBorders>
          </w:tcPr>
          <w:p>
            <w:pPr>
              <w:spacing w:after="0"/>
              <w:rPr>
                <w:sz w:val="9"/>
                <w:szCs w:val="9"/>
                <w:color w:val="auto"/>
              </w:rPr>
            </w:pPr>
          </w:p>
        </w:tc>
        <w:tc>
          <w:tcPr>
            <w:tcW w:w="1300" w:type="dxa"/>
            <w:vAlign w:val="bottom"/>
            <w:tcBorders>
              <w:bottom w:val="single" w:sz="8" w:color="auto"/>
            </w:tcBorders>
          </w:tcPr>
          <w:p>
            <w:pPr>
              <w:spacing w:after="0"/>
              <w:rPr>
                <w:sz w:val="9"/>
                <w:szCs w:val="9"/>
                <w:color w:val="auto"/>
              </w:rPr>
            </w:pPr>
          </w:p>
        </w:tc>
        <w:tc>
          <w:tcPr>
            <w:tcW w:w="1840" w:type="dxa"/>
            <w:vAlign w:val="bottom"/>
            <w:tcBorders>
              <w:bottom w:val="single" w:sz="8" w:color="auto"/>
              <w:right w:val="single" w:sz="8" w:color="auto"/>
            </w:tcBorders>
          </w:tcPr>
          <w:p>
            <w:pPr>
              <w:spacing w:after="0"/>
              <w:rPr>
                <w:sz w:val="9"/>
                <w:szCs w:val="9"/>
                <w:color w:val="auto"/>
              </w:rPr>
            </w:pPr>
          </w:p>
        </w:tc>
        <w:tc>
          <w:tcPr>
            <w:tcW w:w="6240" w:type="dxa"/>
            <w:vAlign w:val="bottom"/>
            <w:tcBorders>
              <w:bottom w:val="single" w:sz="8" w:color="auto"/>
              <w:right w:val="single" w:sz="8" w:color="auto"/>
            </w:tcBorders>
          </w:tcPr>
          <w:p>
            <w:pPr>
              <w:spacing w:after="0"/>
              <w:rPr>
                <w:sz w:val="9"/>
                <w:szCs w:val="9"/>
                <w:color w:val="auto"/>
              </w:rPr>
            </w:pPr>
          </w:p>
        </w:tc>
        <w:tc>
          <w:tcPr>
            <w:tcW w:w="0" w:type="dxa"/>
            <w:vAlign w:val="bottom"/>
          </w:tcPr>
          <w:p>
            <w:pPr>
              <w:spacing w:after="0"/>
              <w:rPr>
                <w:sz w:val="1"/>
                <w:szCs w:val="1"/>
                <w:color w:val="auto"/>
              </w:rPr>
            </w:pPr>
          </w:p>
        </w:tc>
      </w:tr>
      <w:tr>
        <w:trPr>
          <w:trHeight w:val="221"/>
        </w:trPr>
        <w:tc>
          <w:tcPr>
            <w:tcW w:w="3380" w:type="dxa"/>
            <w:vAlign w:val="bottom"/>
            <w:tcBorders>
              <w:left w:val="single" w:sz="8" w:color="auto"/>
              <w:right w:val="single" w:sz="8" w:color="auto"/>
            </w:tcBorders>
            <w:gridSpan w:val="3"/>
            <w:vMerge w:val="restart"/>
          </w:tcPr>
          <w:p>
            <w:pPr>
              <w:ind w:left="120"/>
              <w:spacing w:after="0"/>
              <w:rPr>
                <w:sz w:val="20"/>
                <w:szCs w:val="20"/>
                <w:color w:val="auto"/>
              </w:rPr>
            </w:pPr>
            <w:r>
              <w:rPr>
                <w:rFonts w:ascii="Calibri" w:cs="Calibri" w:eastAsia="Calibri" w:hAnsi="Calibri"/>
                <w:sz w:val="20"/>
                <w:szCs w:val="20"/>
                <w:b w:val="1"/>
                <w:bCs w:val="1"/>
                <w:color w:val="auto"/>
              </w:rPr>
              <w:t>Soggetti destinatari</w:t>
            </w:r>
          </w:p>
        </w:tc>
        <w:tc>
          <w:tcPr>
            <w:tcW w:w="6240" w:type="dxa"/>
            <w:vAlign w:val="bottom"/>
            <w:tcBorders>
              <w:right w:val="single" w:sz="8" w:color="auto"/>
            </w:tcBorders>
          </w:tcPr>
          <w:p>
            <w:pPr>
              <w:ind w:left="100"/>
              <w:spacing w:after="0" w:line="220" w:lineRule="exact"/>
              <w:rPr>
                <w:sz w:val="20"/>
                <w:szCs w:val="20"/>
                <w:color w:val="auto"/>
              </w:rPr>
            </w:pPr>
            <w:r>
              <w:rPr>
                <w:rFonts w:ascii="Times New Roman" w:cs="Times New Roman" w:eastAsia="Times New Roman" w:hAnsi="Times New Roman"/>
                <w:sz w:val="22"/>
                <w:szCs w:val="22"/>
                <w:color w:val="auto"/>
              </w:rPr>
              <w:t>Dirigenti scolastici della regione ABRUZZO in servizio nell’a.s.</w:t>
            </w:r>
          </w:p>
        </w:tc>
        <w:tc>
          <w:tcPr>
            <w:tcW w:w="0" w:type="dxa"/>
            <w:vAlign w:val="bottom"/>
          </w:tcPr>
          <w:p>
            <w:pPr>
              <w:spacing w:after="0"/>
              <w:rPr>
                <w:sz w:val="1"/>
                <w:szCs w:val="1"/>
                <w:color w:val="auto"/>
              </w:rPr>
            </w:pPr>
          </w:p>
        </w:tc>
      </w:tr>
      <w:tr>
        <w:trPr>
          <w:trHeight w:val="150"/>
        </w:trPr>
        <w:tc>
          <w:tcPr>
            <w:tcW w:w="3380" w:type="dxa"/>
            <w:vAlign w:val="bottom"/>
            <w:tcBorders>
              <w:left w:val="single" w:sz="8" w:color="auto"/>
              <w:right w:val="single" w:sz="8" w:color="auto"/>
            </w:tcBorders>
            <w:gridSpan w:val="3"/>
            <w:vMerge w:val="continue"/>
          </w:tcPr>
          <w:p>
            <w:pPr>
              <w:spacing w:after="0"/>
              <w:rPr>
                <w:sz w:val="13"/>
                <w:szCs w:val="13"/>
                <w:color w:val="auto"/>
              </w:rPr>
            </w:pPr>
          </w:p>
        </w:tc>
        <w:tc>
          <w:tcPr>
            <w:tcW w:w="6240" w:type="dxa"/>
            <w:vAlign w:val="bottom"/>
            <w:tcBorders>
              <w:right w:val="single" w:sz="8" w:color="auto"/>
            </w:tcBorders>
            <w:vMerge w:val="restart"/>
          </w:tcPr>
          <w:p>
            <w:pPr>
              <w:ind w:left="100"/>
              <w:spacing w:after="0"/>
              <w:rPr>
                <w:sz w:val="20"/>
                <w:szCs w:val="20"/>
                <w:color w:val="auto"/>
              </w:rPr>
            </w:pPr>
            <w:r>
              <w:rPr>
                <w:rFonts w:ascii="Times New Roman" w:cs="Times New Roman" w:eastAsia="Times New Roman" w:hAnsi="Times New Roman"/>
                <w:sz w:val="22"/>
                <w:szCs w:val="22"/>
                <w:color w:val="auto"/>
              </w:rPr>
              <w:t>2014/2015</w:t>
            </w:r>
          </w:p>
        </w:tc>
        <w:tc>
          <w:tcPr>
            <w:tcW w:w="0" w:type="dxa"/>
            <w:vAlign w:val="bottom"/>
          </w:tcPr>
          <w:p>
            <w:pPr>
              <w:spacing w:after="0"/>
              <w:rPr>
                <w:sz w:val="1"/>
                <w:szCs w:val="1"/>
                <w:color w:val="auto"/>
              </w:rPr>
            </w:pPr>
          </w:p>
        </w:tc>
      </w:tr>
      <w:tr>
        <w:trPr>
          <w:trHeight w:val="138"/>
        </w:trPr>
        <w:tc>
          <w:tcPr>
            <w:tcW w:w="240" w:type="dxa"/>
            <w:vAlign w:val="bottom"/>
            <w:tcBorders>
              <w:left w:val="single" w:sz="8" w:color="auto"/>
            </w:tcBorders>
          </w:tcPr>
          <w:p>
            <w:pPr>
              <w:spacing w:after="0"/>
              <w:rPr>
                <w:sz w:val="12"/>
                <w:szCs w:val="12"/>
                <w:color w:val="auto"/>
              </w:rPr>
            </w:pPr>
          </w:p>
        </w:tc>
        <w:tc>
          <w:tcPr>
            <w:tcW w:w="1300" w:type="dxa"/>
            <w:vAlign w:val="bottom"/>
          </w:tcPr>
          <w:p>
            <w:pPr>
              <w:spacing w:after="0"/>
              <w:rPr>
                <w:sz w:val="12"/>
                <w:szCs w:val="12"/>
                <w:color w:val="auto"/>
              </w:rPr>
            </w:pPr>
          </w:p>
        </w:tc>
        <w:tc>
          <w:tcPr>
            <w:tcW w:w="1840" w:type="dxa"/>
            <w:vAlign w:val="bottom"/>
            <w:tcBorders>
              <w:right w:val="single" w:sz="8" w:color="auto"/>
            </w:tcBorders>
          </w:tcPr>
          <w:p>
            <w:pPr>
              <w:spacing w:after="0"/>
              <w:rPr>
                <w:sz w:val="12"/>
                <w:szCs w:val="12"/>
                <w:color w:val="auto"/>
              </w:rPr>
            </w:pPr>
          </w:p>
        </w:tc>
        <w:tc>
          <w:tcPr>
            <w:tcW w:w="6240" w:type="dxa"/>
            <w:vAlign w:val="bottom"/>
            <w:tcBorders>
              <w:right w:val="single" w:sz="8" w:color="auto"/>
            </w:tcBorders>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07"/>
        </w:trPr>
        <w:tc>
          <w:tcPr>
            <w:tcW w:w="240" w:type="dxa"/>
            <w:vAlign w:val="bottom"/>
            <w:tcBorders>
              <w:left w:val="single" w:sz="8" w:color="auto"/>
              <w:bottom w:val="single" w:sz="8" w:color="auto"/>
            </w:tcBorders>
          </w:tcPr>
          <w:p>
            <w:pPr>
              <w:spacing w:after="0"/>
              <w:rPr>
                <w:sz w:val="9"/>
                <w:szCs w:val="9"/>
                <w:color w:val="auto"/>
              </w:rPr>
            </w:pPr>
          </w:p>
        </w:tc>
        <w:tc>
          <w:tcPr>
            <w:tcW w:w="1300" w:type="dxa"/>
            <w:vAlign w:val="bottom"/>
            <w:tcBorders>
              <w:bottom w:val="single" w:sz="8" w:color="auto"/>
            </w:tcBorders>
          </w:tcPr>
          <w:p>
            <w:pPr>
              <w:spacing w:after="0"/>
              <w:rPr>
                <w:sz w:val="9"/>
                <w:szCs w:val="9"/>
                <w:color w:val="auto"/>
              </w:rPr>
            </w:pPr>
          </w:p>
        </w:tc>
        <w:tc>
          <w:tcPr>
            <w:tcW w:w="1840" w:type="dxa"/>
            <w:vAlign w:val="bottom"/>
            <w:tcBorders>
              <w:bottom w:val="single" w:sz="8" w:color="auto"/>
              <w:right w:val="single" w:sz="8" w:color="auto"/>
            </w:tcBorders>
          </w:tcPr>
          <w:p>
            <w:pPr>
              <w:spacing w:after="0"/>
              <w:rPr>
                <w:sz w:val="9"/>
                <w:szCs w:val="9"/>
                <w:color w:val="auto"/>
              </w:rPr>
            </w:pPr>
          </w:p>
        </w:tc>
        <w:tc>
          <w:tcPr>
            <w:tcW w:w="6240" w:type="dxa"/>
            <w:vAlign w:val="bottom"/>
            <w:tcBorders>
              <w:bottom w:val="single" w:sz="8" w:color="auto"/>
              <w:right w:val="single" w:sz="8" w:color="auto"/>
            </w:tcBorders>
          </w:tcPr>
          <w:p>
            <w:pPr>
              <w:spacing w:after="0"/>
              <w:rPr>
                <w:sz w:val="9"/>
                <w:szCs w:val="9"/>
                <w:color w:val="auto"/>
              </w:rPr>
            </w:pPr>
          </w:p>
        </w:tc>
        <w:tc>
          <w:tcPr>
            <w:tcW w:w="0" w:type="dxa"/>
            <w:vAlign w:val="bottom"/>
          </w:tcPr>
          <w:p>
            <w:pPr>
              <w:spacing w:after="0"/>
              <w:rPr>
                <w:sz w:val="1"/>
                <w:szCs w:val="1"/>
                <w:color w:val="auto"/>
              </w:rPr>
            </w:pPr>
          </w:p>
        </w:tc>
      </w:tr>
      <w:tr>
        <w:trPr>
          <w:trHeight w:val="221"/>
        </w:trPr>
        <w:tc>
          <w:tcPr>
            <w:tcW w:w="240" w:type="dxa"/>
            <w:vAlign w:val="bottom"/>
            <w:tcBorders>
              <w:left w:val="single" w:sz="8" w:color="auto"/>
            </w:tcBorders>
          </w:tcPr>
          <w:p>
            <w:pPr>
              <w:spacing w:after="0"/>
              <w:rPr>
                <w:sz w:val="19"/>
                <w:szCs w:val="19"/>
                <w:color w:val="auto"/>
              </w:rPr>
            </w:pPr>
          </w:p>
        </w:tc>
        <w:tc>
          <w:tcPr>
            <w:tcW w:w="1300" w:type="dxa"/>
            <w:vAlign w:val="bottom"/>
          </w:tcPr>
          <w:p>
            <w:pPr>
              <w:spacing w:after="0"/>
              <w:rPr>
                <w:sz w:val="19"/>
                <w:szCs w:val="19"/>
                <w:color w:val="auto"/>
              </w:rPr>
            </w:pPr>
          </w:p>
        </w:tc>
        <w:tc>
          <w:tcPr>
            <w:tcW w:w="1840" w:type="dxa"/>
            <w:vAlign w:val="bottom"/>
            <w:tcBorders>
              <w:right w:val="single" w:sz="8" w:color="auto"/>
            </w:tcBorders>
          </w:tcPr>
          <w:p>
            <w:pPr>
              <w:spacing w:after="0"/>
              <w:rPr>
                <w:sz w:val="19"/>
                <w:szCs w:val="19"/>
                <w:color w:val="auto"/>
              </w:rPr>
            </w:pPr>
          </w:p>
        </w:tc>
        <w:tc>
          <w:tcPr>
            <w:tcW w:w="6240" w:type="dxa"/>
            <w:vAlign w:val="bottom"/>
            <w:tcBorders>
              <w:right w:val="single" w:sz="8" w:color="auto"/>
            </w:tcBorders>
          </w:tcPr>
          <w:p>
            <w:pPr>
              <w:ind w:left="100"/>
              <w:spacing w:after="0" w:line="220" w:lineRule="exact"/>
              <w:rPr>
                <w:sz w:val="20"/>
                <w:szCs w:val="20"/>
                <w:color w:val="auto"/>
              </w:rPr>
            </w:pPr>
            <w:r>
              <w:rPr>
                <w:rFonts w:ascii="Times New Roman" w:cs="Times New Roman" w:eastAsia="Times New Roman" w:hAnsi="Times New Roman"/>
                <w:sz w:val="22"/>
                <w:szCs w:val="22"/>
                <w:color w:val="auto"/>
              </w:rPr>
              <w:t>Criteri e modalità di utilizzazione del Fondo regionale per la</w:t>
            </w:r>
          </w:p>
        </w:tc>
        <w:tc>
          <w:tcPr>
            <w:tcW w:w="0" w:type="dxa"/>
            <w:vAlign w:val="bottom"/>
          </w:tcPr>
          <w:p>
            <w:pPr>
              <w:spacing w:after="0"/>
              <w:rPr>
                <w:sz w:val="1"/>
                <w:szCs w:val="1"/>
                <w:color w:val="auto"/>
              </w:rPr>
            </w:pPr>
          </w:p>
        </w:tc>
      </w:tr>
      <w:tr>
        <w:trPr>
          <w:trHeight w:val="252"/>
        </w:trPr>
        <w:tc>
          <w:tcPr>
            <w:tcW w:w="3380" w:type="dxa"/>
            <w:vAlign w:val="bottom"/>
            <w:tcBorders>
              <w:left w:val="single" w:sz="8" w:color="auto"/>
              <w:right w:val="single" w:sz="8" w:color="auto"/>
            </w:tcBorders>
            <w:gridSpan w:val="3"/>
          </w:tcPr>
          <w:p>
            <w:pPr>
              <w:ind w:left="120"/>
              <w:spacing w:after="0"/>
              <w:rPr>
                <w:sz w:val="20"/>
                <w:szCs w:val="20"/>
                <w:color w:val="auto"/>
              </w:rPr>
            </w:pPr>
            <w:r>
              <w:rPr>
                <w:rFonts w:ascii="Calibri" w:cs="Calibri" w:eastAsia="Calibri" w:hAnsi="Calibri"/>
                <w:sz w:val="20"/>
                <w:szCs w:val="20"/>
                <w:b w:val="1"/>
                <w:bCs w:val="1"/>
                <w:color w:val="auto"/>
              </w:rPr>
              <w:t xml:space="preserve">Materie trattate dal </w:t>
            </w:r>
            <w:r>
              <w:rPr>
                <w:rFonts w:ascii="Calibri" w:cs="Calibri" w:eastAsia="Calibri" w:hAnsi="Calibri"/>
                <w:sz w:val="20"/>
                <w:szCs w:val="20"/>
                <w:b w:val="1"/>
                <w:bCs w:val="1"/>
                <w:i w:val="1"/>
                <w:iCs w:val="1"/>
                <w:color w:val="auto"/>
              </w:rPr>
              <w:t>provvedimento</w:t>
            </w:r>
          </w:p>
        </w:tc>
        <w:tc>
          <w:tcPr>
            <w:tcW w:w="6240" w:type="dxa"/>
            <w:vAlign w:val="bottom"/>
            <w:tcBorders>
              <w:right w:val="single" w:sz="8" w:color="auto"/>
            </w:tcBorders>
          </w:tcPr>
          <w:p>
            <w:pPr>
              <w:ind w:left="100"/>
              <w:spacing w:after="0" w:line="252" w:lineRule="exact"/>
              <w:rPr>
                <w:sz w:val="20"/>
                <w:szCs w:val="20"/>
                <w:color w:val="auto"/>
              </w:rPr>
            </w:pPr>
            <w:r>
              <w:rPr>
                <w:rFonts w:ascii="Times New Roman" w:cs="Times New Roman" w:eastAsia="Times New Roman" w:hAnsi="Times New Roman"/>
                <w:sz w:val="22"/>
                <w:szCs w:val="22"/>
                <w:color w:val="auto"/>
              </w:rPr>
              <w:t>determinazione  della  retribuzione  di  posizione  e  di  risultato</w:t>
            </w:r>
          </w:p>
        </w:tc>
        <w:tc>
          <w:tcPr>
            <w:tcW w:w="0" w:type="dxa"/>
            <w:vAlign w:val="bottom"/>
          </w:tcPr>
          <w:p>
            <w:pPr>
              <w:spacing w:after="0"/>
              <w:rPr>
                <w:sz w:val="1"/>
                <w:szCs w:val="1"/>
                <w:color w:val="auto"/>
              </w:rPr>
            </w:pPr>
          </w:p>
        </w:tc>
      </w:tr>
      <w:tr>
        <w:trPr>
          <w:trHeight w:val="254"/>
        </w:trPr>
        <w:tc>
          <w:tcPr>
            <w:tcW w:w="3380" w:type="dxa"/>
            <w:vAlign w:val="bottom"/>
            <w:tcBorders>
              <w:left w:val="single" w:sz="8" w:color="auto"/>
              <w:right w:val="single" w:sz="8" w:color="auto"/>
            </w:tcBorders>
            <w:gridSpan w:val="3"/>
          </w:tcPr>
          <w:p>
            <w:pPr>
              <w:ind w:left="120"/>
              <w:spacing w:after="0"/>
              <w:rPr>
                <w:sz w:val="20"/>
                <w:szCs w:val="20"/>
                <w:color w:val="auto"/>
              </w:rPr>
            </w:pPr>
            <w:r>
              <w:rPr>
                <w:rFonts w:ascii="Calibri" w:cs="Calibri" w:eastAsia="Calibri" w:hAnsi="Calibri"/>
                <w:sz w:val="20"/>
                <w:szCs w:val="20"/>
                <w:b w:val="1"/>
                <w:bCs w:val="1"/>
                <w:color w:val="auto"/>
              </w:rPr>
              <w:t>(descrizione sintetica)</w:t>
            </w:r>
          </w:p>
        </w:tc>
        <w:tc>
          <w:tcPr>
            <w:tcW w:w="6240" w:type="dxa"/>
            <w:vAlign w:val="bottom"/>
            <w:tcBorders>
              <w:right w:val="single" w:sz="8" w:color="auto"/>
            </w:tcBorders>
          </w:tcPr>
          <w:p>
            <w:pPr>
              <w:ind w:left="100"/>
              <w:spacing w:after="0"/>
              <w:rPr>
                <w:sz w:val="20"/>
                <w:szCs w:val="20"/>
                <w:color w:val="auto"/>
              </w:rPr>
            </w:pPr>
            <w:r>
              <w:rPr>
                <w:rFonts w:ascii="Times New Roman" w:cs="Times New Roman" w:eastAsia="Times New Roman" w:hAnsi="Times New Roman"/>
                <w:sz w:val="22"/>
                <w:szCs w:val="22"/>
                <w:color w:val="auto"/>
              </w:rPr>
              <w:t>spettante ai Dirigenti Scolastici della regione Abruzzo in servizio</w:t>
            </w:r>
          </w:p>
        </w:tc>
        <w:tc>
          <w:tcPr>
            <w:tcW w:w="0" w:type="dxa"/>
            <w:vAlign w:val="bottom"/>
          </w:tcPr>
          <w:p>
            <w:pPr>
              <w:spacing w:after="0"/>
              <w:rPr>
                <w:sz w:val="1"/>
                <w:szCs w:val="1"/>
                <w:color w:val="auto"/>
              </w:rPr>
            </w:pPr>
          </w:p>
        </w:tc>
      </w:tr>
      <w:tr>
        <w:trPr>
          <w:trHeight w:val="288"/>
        </w:trPr>
        <w:tc>
          <w:tcPr>
            <w:tcW w:w="240" w:type="dxa"/>
            <w:vAlign w:val="bottom"/>
            <w:tcBorders>
              <w:left w:val="single" w:sz="8" w:color="auto"/>
            </w:tcBorders>
          </w:tcPr>
          <w:p>
            <w:pPr>
              <w:spacing w:after="0"/>
              <w:rPr>
                <w:sz w:val="24"/>
                <w:szCs w:val="24"/>
                <w:color w:val="auto"/>
              </w:rPr>
            </w:pPr>
          </w:p>
        </w:tc>
        <w:tc>
          <w:tcPr>
            <w:tcW w:w="1300" w:type="dxa"/>
            <w:vAlign w:val="bottom"/>
          </w:tcPr>
          <w:p>
            <w:pPr>
              <w:spacing w:after="0"/>
              <w:rPr>
                <w:sz w:val="24"/>
                <w:szCs w:val="24"/>
                <w:color w:val="auto"/>
              </w:rPr>
            </w:pPr>
          </w:p>
        </w:tc>
        <w:tc>
          <w:tcPr>
            <w:tcW w:w="1840" w:type="dxa"/>
            <w:vAlign w:val="bottom"/>
            <w:tcBorders>
              <w:right w:val="single" w:sz="8" w:color="auto"/>
            </w:tcBorders>
          </w:tcPr>
          <w:p>
            <w:pPr>
              <w:spacing w:after="0"/>
              <w:rPr>
                <w:sz w:val="24"/>
                <w:szCs w:val="24"/>
                <w:color w:val="auto"/>
              </w:rPr>
            </w:pPr>
          </w:p>
        </w:tc>
        <w:tc>
          <w:tcPr>
            <w:tcW w:w="6240" w:type="dxa"/>
            <w:vAlign w:val="bottom"/>
            <w:tcBorders>
              <w:right w:val="single" w:sz="8" w:color="auto"/>
            </w:tcBorders>
          </w:tcPr>
          <w:p>
            <w:pPr>
              <w:ind w:left="100"/>
              <w:spacing w:after="0"/>
              <w:rPr>
                <w:sz w:val="20"/>
                <w:szCs w:val="20"/>
                <w:color w:val="auto"/>
              </w:rPr>
            </w:pPr>
            <w:r>
              <w:rPr>
                <w:rFonts w:ascii="Times New Roman" w:cs="Times New Roman" w:eastAsia="Times New Roman" w:hAnsi="Times New Roman"/>
                <w:sz w:val="22"/>
                <w:szCs w:val="22"/>
                <w:color w:val="auto"/>
              </w:rPr>
              <w:t>nell’a.s. 2014/2015..</w:t>
            </w:r>
          </w:p>
        </w:tc>
        <w:tc>
          <w:tcPr>
            <w:tcW w:w="0" w:type="dxa"/>
            <w:vAlign w:val="bottom"/>
          </w:tcPr>
          <w:p>
            <w:pPr>
              <w:spacing w:after="0"/>
              <w:rPr>
                <w:sz w:val="1"/>
                <w:szCs w:val="1"/>
                <w:color w:val="auto"/>
              </w:rPr>
            </w:pPr>
          </w:p>
        </w:tc>
      </w:tr>
      <w:tr>
        <w:trPr>
          <w:trHeight w:val="107"/>
        </w:trPr>
        <w:tc>
          <w:tcPr>
            <w:tcW w:w="240" w:type="dxa"/>
            <w:vAlign w:val="bottom"/>
            <w:tcBorders>
              <w:left w:val="single" w:sz="8" w:color="auto"/>
              <w:bottom w:val="single" w:sz="8" w:color="auto"/>
            </w:tcBorders>
          </w:tcPr>
          <w:p>
            <w:pPr>
              <w:spacing w:after="0"/>
              <w:rPr>
                <w:sz w:val="9"/>
                <w:szCs w:val="9"/>
                <w:color w:val="auto"/>
              </w:rPr>
            </w:pPr>
          </w:p>
        </w:tc>
        <w:tc>
          <w:tcPr>
            <w:tcW w:w="1300" w:type="dxa"/>
            <w:vAlign w:val="bottom"/>
            <w:tcBorders>
              <w:bottom w:val="single" w:sz="8" w:color="auto"/>
            </w:tcBorders>
          </w:tcPr>
          <w:p>
            <w:pPr>
              <w:spacing w:after="0"/>
              <w:rPr>
                <w:sz w:val="9"/>
                <w:szCs w:val="9"/>
                <w:color w:val="auto"/>
              </w:rPr>
            </w:pPr>
          </w:p>
        </w:tc>
        <w:tc>
          <w:tcPr>
            <w:tcW w:w="1840" w:type="dxa"/>
            <w:vAlign w:val="bottom"/>
            <w:tcBorders>
              <w:bottom w:val="single" w:sz="8" w:color="auto"/>
              <w:right w:val="single" w:sz="8" w:color="auto"/>
            </w:tcBorders>
          </w:tcPr>
          <w:p>
            <w:pPr>
              <w:spacing w:after="0"/>
              <w:rPr>
                <w:sz w:val="9"/>
                <w:szCs w:val="9"/>
                <w:color w:val="auto"/>
              </w:rPr>
            </w:pPr>
          </w:p>
        </w:tc>
        <w:tc>
          <w:tcPr>
            <w:tcW w:w="6240" w:type="dxa"/>
            <w:vAlign w:val="bottom"/>
            <w:tcBorders>
              <w:bottom w:val="single" w:sz="8" w:color="auto"/>
              <w:right w:val="single" w:sz="8" w:color="auto"/>
            </w:tcBorders>
          </w:tcPr>
          <w:p>
            <w:pPr>
              <w:spacing w:after="0"/>
              <w:rPr>
                <w:sz w:val="9"/>
                <w:szCs w:val="9"/>
                <w:color w:val="auto"/>
              </w:rPr>
            </w:pPr>
          </w:p>
        </w:tc>
        <w:tc>
          <w:tcPr>
            <w:tcW w:w="0" w:type="dxa"/>
            <w:vAlign w:val="bottom"/>
          </w:tcPr>
          <w:p>
            <w:pPr>
              <w:spacing w:after="0"/>
              <w:rPr>
                <w:sz w:val="1"/>
                <w:szCs w:val="1"/>
                <w:color w:val="auto"/>
              </w:rPr>
            </w:pPr>
          </w:p>
        </w:tc>
      </w:tr>
      <w:tr>
        <w:trPr>
          <w:trHeight w:val="231"/>
        </w:trPr>
        <w:tc>
          <w:tcPr>
            <w:tcW w:w="240" w:type="dxa"/>
            <w:vAlign w:val="bottom"/>
            <w:tcBorders>
              <w:left w:val="single" w:sz="8" w:color="auto"/>
            </w:tcBorders>
          </w:tcPr>
          <w:p>
            <w:pPr>
              <w:spacing w:after="0"/>
              <w:rPr>
                <w:sz w:val="20"/>
                <w:szCs w:val="20"/>
                <w:color w:val="auto"/>
              </w:rPr>
            </w:pPr>
          </w:p>
        </w:tc>
        <w:tc>
          <w:tcPr>
            <w:tcW w:w="1300" w:type="dxa"/>
            <w:vAlign w:val="bottom"/>
            <w:tcBorders>
              <w:right w:val="single" w:sz="8" w:color="auto"/>
            </w:tcBorders>
            <w:vMerge w:val="restart"/>
            <w:textDirection w:val="btLr"/>
          </w:tcPr>
          <w:p>
            <w:pPr>
              <w:ind w:left="1107"/>
              <w:spacing w:after="0"/>
              <w:rPr>
                <w:sz w:val="20"/>
                <w:szCs w:val="20"/>
                <w:color w:val="auto"/>
              </w:rPr>
            </w:pPr>
            <w:r>
              <w:rPr>
                <w:rFonts w:ascii="Calibri" w:cs="Calibri" w:eastAsia="Calibri" w:hAnsi="Calibri"/>
                <w:sz w:val="9"/>
                <w:szCs w:val="9"/>
                <w:b w:val="1"/>
                <w:bCs w:val="1"/>
                <w:color w:val="auto"/>
                <w:w w:val="74"/>
              </w:rPr>
              <w:t>adempimenti proceduraleedegliattipropedeuticiesuccessiviallacontrattazione</w:t>
            </w:r>
          </w:p>
        </w:tc>
        <w:tc>
          <w:tcPr>
            <w:tcW w:w="1840" w:type="dxa"/>
            <w:vAlign w:val="bottom"/>
            <w:tcBorders>
              <w:right w:val="single" w:sz="8" w:color="auto"/>
            </w:tcBorders>
          </w:tcPr>
          <w:p>
            <w:pPr>
              <w:ind w:left="100"/>
              <w:spacing w:after="0" w:line="230" w:lineRule="exact"/>
              <w:rPr>
                <w:sz w:val="20"/>
                <w:szCs w:val="20"/>
                <w:color w:val="auto"/>
              </w:rPr>
            </w:pPr>
            <w:r>
              <w:rPr>
                <w:rFonts w:ascii="Calibri" w:cs="Calibri" w:eastAsia="Calibri" w:hAnsi="Calibri"/>
                <w:sz w:val="20"/>
                <w:szCs w:val="20"/>
                <w:b w:val="1"/>
                <w:bCs w:val="1"/>
                <w:color w:val="auto"/>
              </w:rPr>
              <w:t>Intervento</w:t>
            </w:r>
          </w:p>
        </w:tc>
        <w:tc>
          <w:tcPr>
            <w:tcW w:w="6240" w:type="dxa"/>
            <w:vAlign w:val="bottom"/>
            <w:tcBorders>
              <w:right w:val="single" w:sz="8" w:color="auto"/>
            </w:tcBorders>
            <w:vMerge w:val="restart"/>
          </w:tcPr>
          <w:p>
            <w:pPr>
              <w:ind w:left="100"/>
              <w:spacing w:after="0"/>
              <w:rPr>
                <w:sz w:val="20"/>
                <w:szCs w:val="20"/>
                <w:color w:val="auto"/>
              </w:rPr>
            </w:pPr>
            <w:r>
              <w:rPr>
                <w:rFonts w:ascii="Calibri" w:cs="Calibri" w:eastAsia="Calibri" w:hAnsi="Calibri"/>
                <w:sz w:val="20"/>
                <w:szCs w:val="20"/>
                <w:color w:val="auto"/>
              </w:rPr>
              <w:t>È stata acquisita la certificazione dell’Organo di controllo interno</w:t>
            </w:r>
          </w:p>
        </w:tc>
        <w:tc>
          <w:tcPr>
            <w:tcW w:w="0" w:type="dxa"/>
            <w:vAlign w:val="bottom"/>
          </w:tcPr>
          <w:p>
            <w:pPr>
              <w:spacing w:after="0"/>
              <w:rPr>
                <w:sz w:val="1"/>
                <w:szCs w:val="1"/>
                <w:color w:val="auto"/>
              </w:rPr>
            </w:pPr>
          </w:p>
        </w:tc>
      </w:tr>
      <w:tr>
        <w:trPr>
          <w:trHeight w:val="245"/>
        </w:trPr>
        <w:tc>
          <w:tcPr>
            <w:tcW w:w="240" w:type="dxa"/>
            <w:vAlign w:val="bottom"/>
            <w:tcBorders>
              <w:left w:val="single" w:sz="8" w:color="auto"/>
            </w:tcBorders>
            <w:vMerge w:val="restart"/>
            <w:textDirection w:val="btLr"/>
          </w:tcPr>
          <w:p>
            <w:pPr>
              <w:spacing w:after="0"/>
              <w:rPr>
                <w:sz w:val="20"/>
                <w:szCs w:val="20"/>
                <w:color w:val="auto"/>
              </w:rPr>
            </w:pPr>
            <w:r>
              <w:rPr>
                <w:rFonts w:ascii="Calibri" w:cs="Calibri" w:eastAsia="Calibri" w:hAnsi="Calibri"/>
                <w:sz w:val="20"/>
                <w:szCs w:val="20"/>
                <w:b w:val="1"/>
                <w:bCs w:val="1"/>
                <w:color w:val="auto"/>
                <w:w w:val="99"/>
              </w:rPr>
              <w:t>Rispetto dell’iter</w:t>
            </w:r>
          </w:p>
        </w:tc>
        <w:tc>
          <w:tcPr>
            <w:tcW w:w="1300" w:type="dxa"/>
            <w:vAlign w:val="bottom"/>
            <w:tcBorders>
              <w:right w:val="single" w:sz="8" w:color="auto"/>
            </w:tcBorders>
            <w:vMerge w:val="continue"/>
          </w:tcPr>
          <w:p>
            <w:pPr>
              <w:spacing w:after="0"/>
              <w:rPr>
                <w:sz w:val="21"/>
                <w:szCs w:val="21"/>
                <w:color w:val="auto"/>
              </w:rPr>
            </w:pPr>
          </w:p>
        </w:tc>
        <w:tc>
          <w:tcPr>
            <w:tcW w:w="1840" w:type="dxa"/>
            <w:vAlign w:val="bottom"/>
            <w:tcBorders>
              <w:right w:val="single" w:sz="8" w:color="auto"/>
            </w:tcBorders>
          </w:tcPr>
          <w:p>
            <w:pPr>
              <w:ind w:left="100"/>
              <w:spacing w:after="0"/>
              <w:rPr>
                <w:sz w:val="20"/>
                <w:szCs w:val="20"/>
                <w:color w:val="auto"/>
              </w:rPr>
            </w:pPr>
            <w:r>
              <w:rPr>
                <w:rFonts w:ascii="Calibri" w:cs="Calibri" w:eastAsia="Calibri" w:hAnsi="Calibri"/>
                <w:sz w:val="20"/>
                <w:szCs w:val="20"/>
                <w:b w:val="1"/>
                <w:bCs w:val="1"/>
                <w:color w:val="auto"/>
              </w:rPr>
              <w:t>dell’Organo di</w:t>
            </w:r>
          </w:p>
        </w:tc>
        <w:tc>
          <w:tcPr>
            <w:tcW w:w="6240" w:type="dxa"/>
            <w:vAlign w:val="bottom"/>
            <w:tcBorders>
              <w:right w:val="single" w:sz="8" w:color="auto"/>
            </w:tcBorders>
            <w:vMerge w:val="continue"/>
          </w:tcPr>
          <w:p>
            <w:pPr>
              <w:spacing w:after="0"/>
              <w:rPr>
                <w:sz w:val="21"/>
                <w:szCs w:val="21"/>
                <w:color w:val="auto"/>
              </w:rPr>
            </w:pPr>
          </w:p>
        </w:tc>
        <w:tc>
          <w:tcPr>
            <w:tcW w:w="0" w:type="dxa"/>
            <w:vAlign w:val="bottom"/>
          </w:tcPr>
          <w:p>
            <w:pPr>
              <w:spacing w:after="0"/>
              <w:rPr>
                <w:sz w:val="1"/>
                <w:szCs w:val="1"/>
                <w:color w:val="auto"/>
              </w:rPr>
            </w:pPr>
          </w:p>
        </w:tc>
      </w:tr>
      <w:tr>
        <w:trPr>
          <w:trHeight w:val="329"/>
        </w:trPr>
        <w:tc>
          <w:tcPr>
            <w:tcW w:w="240" w:type="dxa"/>
            <w:vAlign w:val="bottom"/>
            <w:tcBorders>
              <w:left w:val="single" w:sz="8" w:color="auto"/>
            </w:tcBorders>
            <w:vMerge w:val="continue"/>
          </w:tcPr>
          <w:p>
            <w:pPr>
              <w:spacing w:after="0"/>
              <w:rPr>
                <w:sz w:val="24"/>
                <w:szCs w:val="24"/>
                <w:color w:val="auto"/>
              </w:rPr>
            </w:pPr>
          </w:p>
        </w:tc>
        <w:tc>
          <w:tcPr>
            <w:tcW w:w="1300" w:type="dxa"/>
            <w:vAlign w:val="bottom"/>
            <w:tcBorders>
              <w:right w:val="single" w:sz="8" w:color="auto"/>
            </w:tcBorders>
            <w:vMerge w:val="continue"/>
          </w:tcPr>
          <w:p>
            <w:pPr>
              <w:spacing w:after="0"/>
              <w:rPr>
                <w:sz w:val="24"/>
                <w:szCs w:val="24"/>
                <w:color w:val="auto"/>
              </w:rPr>
            </w:pPr>
          </w:p>
        </w:tc>
        <w:tc>
          <w:tcPr>
            <w:tcW w:w="1840" w:type="dxa"/>
            <w:vAlign w:val="bottom"/>
            <w:tcBorders>
              <w:right w:val="single" w:sz="8" w:color="auto"/>
            </w:tcBorders>
          </w:tcPr>
          <w:p>
            <w:pPr>
              <w:ind w:left="100"/>
              <w:spacing w:after="0"/>
              <w:rPr>
                <w:sz w:val="20"/>
                <w:szCs w:val="20"/>
                <w:color w:val="auto"/>
              </w:rPr>
            </w:pPr>
            <w:r>
              <w:rPr>
                <w:rFonts w:ascii="Calibri" w:cs="Calibri" w:eastAsia="Calibri" w:hAnsi="Calibri"/>
                <w:sz w:val="20"/>
                <w:szCs w:val="20"/>
                <w:b w:val="1"/>
                <w:bCs w:val="1"/>
                <w:color w:val="auto"/>
              </w:rPr>
              <w:t>controllo interno.</w:t>
            </w:r>
          </w:p>
        </w:tc>
        <w:tc>
          <w:tcPr>
            <w:tcW w:w="6240" w:type="dxa"/>
            <w:vAlign w:val="bottom"/>
            <w:tcBorders>
              <w:right w:val="single" w:sz="8" w:color="auto"/>
            </w:tcBorders>
          </w:tcPr>
          <w:p>
            <w:pPr>
              <w:ind w:left="140"/>
              <w:spacing w:after="0"/>
              <w:rPr>
                <w:sz w:val="20"/>
                <w:szCs w:val="20"/>
                <w:color w:val="auto"/>
              </w:rPr>
            </w:pPr>
            <w:r>
              <w:rPr>
                <w:rFonts w:ascii="Times New Roman" w:cs="Times New Roman" w:eastAsia="Times New Roman" w:hAnsi="Times New Roman"/>
                <w:sz w:val="22"/>
                <w:szCs w:val="22"/>
                <w:color w:val="auto"/>
              </w:rPr>
              <w:t>parte non pertinente allo specifico provvedimento illustrato</w:t>
            </w:r>
          </w:p>
        </w:tc>
        <w:tc>
          <w:tcPr>
            <w:tcW w:w="0" w:type="dxa"/>
            <w:vAlign w:val="bottom"/>
          </w:tcPr>
          <w:p>
            <w:pPr>
              <w:spacing w:after="0"/>
              <w:rPr>
                <w:sz w:val="1"/>
                <w:szCs w:val="1"/>
                <w:color w:val="auto"/>
              </w:rPr>
            </w:pPr>
          </w:p>
        </w:tc>
      </w:tr>
      <w:tr>
        <w:trPr>
          <w:trHeight w:val="281"/>
        </w:trPr>
        <w:tc>
          <w:tcPr>
            <w:tcW w:w="240" w:type="dxa"/>
            <w:vAlign w:val="bottom"/>
            <w:tcBorders>
              <w:left w:val="single" w:sz="8" w:color="auto"/>
            </w:tcBorders>
            <w:vMerge w:val="continue"/>
          </w:tcPr>
          <w:p>
            <w:pPr>
              <w:spacing w:after="0"/>
              <w:rPr>
                <w:sz w:val="24"/>
                <w:szCs w:val="24"/>
                <w:color w:val="auto"/>
              </w:rPr>
            </w:pPr>
          </w:p>
        </w:tc>
        <w:tc>
          <w:tcPr>
            <w:tcW w:w="1300" w:type="dxa"/>
            <w:vAlign w:val="bottom"/>
            <w:tcBorders>
              <w:right w:val="single" w:sz="8" w:color="auto"/>
            </w:tcBorders>
            <w:vMerge w:val="continue"/>
          </w:tcPr>
          <w:p>
            <w:pPr>
              <w:spacing w:after="0"/>
              <w:rPr>
                <w:sz w:val="24"/>
                <w:szCs w:val="24"/>
                <w:color w:val="auto"/>
              </w:rPr>
            </w:pPr>
          </w:p>
        </w:tc>
        <w:tc>
          <w:tcPr>
            <w:tcW w:w="1840" w:type="dxa"/>
            <w:vAlign w:val="bottom"/>
            <w:tcBorders>
              <w:right w:val="single" w:sz="8" w:color="auto"/>
            </w:tcBorders>
          </w:tcPr>
          <w:p>
            <w:pPr>
              <w:ind w:left="100"/>
              <w:spacing w:after="0"/>
              <w:rPr>
                <w:sz w:val="20"/>
                <w:szCs w:val="20"/>
                <w:color w:val="auto"/>
              </w:rPr>
            </w:pPr>
            <w:r>
              <w:rPr>
                <w:rFonts w:ascii="Calibri" w:cs="Calibri" w:eastAsia="Calibri" w:hAnsi="Calibri"/>
                <w:sz w:val="20"/>
                <w:szCs w:val="20"/>
                <w:b w:val="1"/>
                <w:bCs w:val="1"/>
                <w:color w:val="auto"/>
              </w:rPr>
              <w:t>Allegazione della</w:t>
            </w:r>
          </w:p>
        </w:tc>
        <w:tc>
          <w:tcPr>
            <w:tcW w:w="6240" w:type="dxa"/>
            <w:vAlign w:val="bottom"/>
            <w:tcBorders>
              <w:bottom w:val="single" w:sz="8" w:color="auto"/>
              <w:right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22"/>
        </w:trPr>
        <w:tc>
          <w:tcPr>
            <w:tcW w:w="240" w:type="dxa"/>
            <w:vAlign w:val="bottom"/>
            <w:tcBorders>
              <w:left w:val="single" w:sz="8" w:color="auto"/>
            </w:tcBorders>
            <w:vMerge w:val="continue"/>
          </w:tcPr>
          <w:p>
            <w:pPr>
              <w:spacing w:after="0"/>
              <w:rPr>
                <w:sz w:val="19"/>
                <w:szCs w:val="19"/>
                <w:color w:val="auto"/>
              </w:rPr>
            </w:pPr>
          </w:p>
        </w:tc>
        <w:tc>
          <w:tcPr>
            <w:tcW w:w="1300" w:type="dxa"/>
            <w:vAlign w:val="bottom"/>
            <w:tcBorders>
              <w:right w:val="single" w:sz="8" w:color="auto"/>
            </w:tcBorders>
            <w:vMerge w:val="continue"/>
          </w:tcPr>
          <w:p>
            <w:pPr>
              <w:spacing w:after="0"/>
              <w:rPr>
                <w:sz w:val="19"/>
                <w:szCs w:val="19"/>
                <w:color w:val="auto"/>
              </w:rPr>
            </w:pPr>
          </w:p>
        </w:tc>
        <w:tc>
          <w:tcPr>
            <w:tcW w:w="1840" w:type="dxa"/>
            <w:vAlign w:val="bottom"/>
            <w:tcBorders>
              <w:right w:val="single" w:sz="8" w:color="auto"/>
            </w:tcBorders>
          </w:tcPr>
          <w:p>
            <w:pPr>
              <w:ind w:left="100"/>
              <w:spacing w:after="0" w:line="222" w:lineRule="exact"/>
              <w:rPr>
                <w:sz w:val="20"/>
                <w:szCs w:val="20"/>
                <w:color w:val="auto"/>
              </w:rPr>
            </w:pPr>
            <w:r>
              <w:rPr>
                <w:rFonts w:ascii="Calibri" w:cs="Calibri" w:eastAsia="Calibri" w:hAnsi="Calibri"/>
                <w:sz w:val="20"/>
                <w:szCs w:val="20"/>
                <w:b w:val="1"/>
                <w:bCs w:val="1"/>
                <w:color w:val="auto"/>
              </w:rPr>
              <w:t>Certificazione</w:t>
            </w:r>
          </w:p>
        </w:tc>
        <w:tc>
          <w:tcPr>
            <w:tcW w:w="6240" w:type="dxa"/>
            <w:vAlign w:val="bottom"/>
            <w:tcBorders>
              <w:right w:val="single" w:sz="8" w:color="auto"/>
            </w:tcBorders>
          </w:tcPr>
          <w:p>
            <w:pPr>
              <w:spacing w:after="0"/>
              <w:rPr>
                <w:sz w:val="19"/>
                <w:szCs w:val="19"/>
                <w:color w:val="auto"/>
              </w:rPr>
            </w:pPr>
          </w:p>
        </w:tc>
        <w:tc>
          <w:tcPr>
            <w:tcW w:w="0" w:type="dxa"/>
            <w:vAlign w:val="bottom"/>
          </w:tcPr>
          <w:p>
            <w:pPr>
              <w:spacing w:after="0"/>
              <w:rPr>
                <w:sz w:val="1"/>
                <w:szCs w:val="1"/>
                <w:color w:val="auto"/>
              </w:rPr>
            </w:pPr>
          </w:p>
        </w:tc>
      </w:tr>
      <w:tr>
        <w:trPr>
          <w:trHeight w:val="245"/>
        </w:trPr>
        <w:tc>
          <w:tcPr>
            <w:tcW w:w="240" w:type="dxa"/>
            <w:vAlign w:val="bottom"/>
            <w:tcBorders>
              <w:left w:val="single" w:sz="8" w:color="auto"/>
            </w:tcBorders>
            <w:vMerge w:val="continue"/>
          </w:tcPr>
          <w:p>
            <w:pPr>
              <w:spacing w:after="0"/>
              <w:rPr>
                <w:sz w:val="21"/>
                <w:szCs w:val="21"/>
                <w:color w:val="auto"/>
              </w:rPr>
            </w:pPr>
          </w:p>
        </w:tc>
        <w:tc>
          <w:tcPr>
            <w:tcW w:w="1300" w:type="dxa"/>
            <w:vAlign w:val="bottom"/>
            <w:tcBorders>
              <w:right w:val="single" w:sz="8" w:color="auto"/>
            </w:tcBorders>
            <w:vMerge w:val="continue"/>
          </w:tcPr>
          <w:p>
            <w:pPr>
              <w:spacing w:after="0"/>
              <w:rPr>
                <w:sz w:val="21"/>
                <w:szCs w:val="21"/>
                <w:color w:val="auto"/>
              </w:rPr>
            </w:pPr>
          </w:p>
        </w:tc>
        <w:tc>
          <w:tcPr>
            <w:tcW w:w="1840" w:type="dxa"/>
            <w:vAlign w:val="bottom"/>
            <w:tcBorders>
              <w:right w:val="single" w:sz="8" w:color="auto"/>
            </w:tcBorders>
          </w:tcPr>
          <w:p>
            <w:pPr>
              <w:ind w:left="100"/>
              <w:spacing w:after="0"/>
              <w:rPr>
                <w:sz w:val="20"/>
                <w:szCs w:val="20"/>
                <w:color w:val="auto"/>
              </w:rPr>
            </w:pPr>
            <w:r>
              <w:rPr>
                <w:rFonts w:ascii="Calibri" w:cs="Calibri" w:eastAsia="Calibri" w:hAnsi="Calibri"/>
                <w:sz w:val="20"/>
                <w:szCs w:val="20"/>
                <w:b w:val="1"/>
                <w:bCs w:val="1"/>
                <w:color w:val="auto"/>
              </w:rPr>
              <w:t>dell’Organo di</w:t>
            </w:r>
          </w:p>
        </w:tc>
        <w:tc>
          <w:tcPr>
            <w:tcW w:w="6240" w:type="dxa"/>
            <w:vAlign w:val="bottom"/>
            <w:tcBorders>
              <w:right w:val="single" w:sz="8" w:color="auto"/>
            </w:tcBorders>
            <w:vMerge w:val="restart"/>
          </w:tcPr>
          <w:p>
            <w:pPr>
              <w:ind w:left="200"/>
              <w:spacing w:after="0"/>
              <w:rPr>
                <w:sz w:val="20"/>
                <w:szCs w:val="20"/>
                <w:color w:val="auto"/>
              </w:rPr>
            </w:pPr>
            <w:r>
              <w:rPr>
                <w:rFonts w:ascii="Calibri" w:cs="Calibri" w:eastAsia="Calibri" w:hAnsi="Calibri"/>
                <w:sz w:val="20"/>
                <w:szCs w:val="20"/>
                <w:color w:val="auto"/>
              </w:rPr>
              <w:t>Nel caso l’Organo di controllo interno abbia effettuato rilievi, descriverli</w:t>
            </w:r>
          </w:p>
        </w:tc>
        <w:tc>
          <w:tcPr>
            <w:tcW w:w="0" w:type="dxa"/>
            <w:vAlign w:val="bottom"/>
          </w:tcPr>
          <w:p>
            <w:pPr>
              <w:spacing w:after="0"/>
              <w:rPr>
                <w:sz w:val="1"/>
                <w:szCs w:val="1"/>
                <w:color w:val="auto"/>
              </w:rPr>
            </w:pPr>
          </w:p>
        </w:tc>
      </w:tr>
      <w:tr>
        <w:trPr>
          <w:trHeight w:val="100"/>
        </w:trPr>
        <w:tc>
          <w:tcPr>
            <w:tcW w:w="240" w:type="dxa"/>
            <w:vAlign w:val="bottom"/>
            <w:tcBorders>
              <w:left w:val="single" w:sz="8" w:color="auto"/>
            </w:tcBorders>
            <w:vMerge w:val="continue"/>
          </w:tcPr>
          <w:p>
            <w:pPr>
              <w:spacing w:after="0"/>
              <w:rPr>
                <w:sz w:val="8"/>
                <w:szCs w:val="8"/>
                <w:color w:val="auto"/>
              </w:rPr>
            </w:pPr>
          </w:p>
        </w:tc>
        <w:tc>
          <w:tcPr>
            <w:tcW w:w="1300" w:type="dxa"/>
            <w:vAlign w:val="bottom"/>
            <w:tcBorders>
              <w:right w:val="single" w:sz="8" w:color="auto"/>
            </w:tcBorders>
            <w:vMerge w:val="continue"/>
          </w:tcPr>
          <w:p>
            <w:pPr>
              <w:spacing w:after="0"/>
              <w:rPr>
                <w:sz w:val="8"/>
                <w:szCs w:val="8"/>
                <w:color w:val="auto"/>
              </w:rPr>
            </w:pPr>
          </w:p>
        </w:tc>
        <w:tc>
          <w:tcPr>
            <w:tcW w:w="1840" w:type="dxa"/>
            <w:vAlign w:val="bottom"/>
            <w:tcBorders>
              <w:right w:val="single" w:sz="8" w:color="auto"/>
            </w:tcBorders>
            <w:vMerge w:val="restart"/>
          </w:tcPr>
          <w:p>
            <w:pPr>
              <w:ind w:left="100"/>
              <w:spacing w:after="0" w:line="242" w:lineRule="exact"/>
              <w:rPr>
                <w:sz w:val="20"/>
                <w:szCs w:val="20"/>
                <w:color w:val="auto"/>
              </w:rPr>
            </w:pPr>
            <w:r>
              <w:rPr>
                <w:rFonts w:ascii="Calibri" w:cs="Calibri" w:eastAsia="Calibri" w:hAnsi="Calibri"/>
                <w:sz w:val="20"/>
                <w:szCs w:val="20"/>
                <w:b w:val="1"/>
                <w:bCs w:val="1"/>
                <w:color w:val="auto"/>
              </w:rPr>
              <w:t>controllo interno</w:t>
            </w:r>
          </w:p>
        </w:tc>
        <w:tc>
          <w:tcPr>
            <w:tcW w:w="6240" w:type="dxa"/>
            <w:vAlign w:val="bottom"/>
            <w:tcBorders>
              <w:right w:val="single" w:sz="8" w:color="auto"/>
            </w:tcBorders>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43"/>
        </w:trPr>
        <w:tc>
          <w:tcPr>
            <w:tcW w:w="240" w:type="dxa"/>
            <w:vAlign w:val="bottom"/>
            <w:tcBorders>
              <w:left w:val="single" w:sz="8" w:color="auto"/>
            </w:tcBorders>
            <w:vMerge w:val="continue"/>
          </w:tcPr>
          <w:p>
            <w:pPr>
              <w:spacing w:after="0"/>
              <w:rPr>
                <w:sz w:val="12"/>
                <w:szCs w:val="12"/>
                <w:color w:val="auto"/>
              </w:rPr>
            </w:pPr>
          </w:p>
        </w:tc>
        <w:tc>
          <w:tcPr>
            <w:tcW w:w="1300" w:type="dxa"/>
            <w:vAlign w:val="bottom"/>
            <w:tcBorders>
              <w:right w:val="single" w:sz="8" w:color="auto"/>
            </w:tcBorders>
            <w:vMerge w:val="continue"/>
          </w:tcPr>
          <w:p>
            <w:pPr>
              <w:spacing w:after="0"/>
              <w:rPr>
                <w:sz w:val="12"/>
                <w:szCs w:val="12"/>
                <w:color w:val="auto"/>
              </w:rPr>
            </w:pPr>
          </w:p>
        </w:tc>
        <w:tc>
          <w:tcPr>
            <w:tcW w:w="1840" w:type="dxa"/>
            <w:vAlign w:val="bottom"/>
            <w:tcBorders>
              <w:right w:val="single" w:sz="8" w:color="auto"/>
            </w:tcBorders>
            <w:vMerge w:val="continue"/>
          </w:tcPr>
          <w:p>
            <w:pPr>
              <w:spacing w:after="0"/>
              <w:rPr>
                <w:sz w:val="12"/>
                <w:szCs w:val="12"/>
                <w:color w:val="auto"/>
              </w:rPr>
            </w:pPr>
          </w:p>
        </w:tc>
        <w:tc>
          <w:tcPr>
            <w:tcW w:w="6240" w:type="dxa"/>
            <w:vAlign w:val="bottom"/>
            <w:tcBorders>
              <w:right w:val="single" w:sz="8" w:color="auto"/>
            </w:tcBorders>
            <w:vMerge w:val="restart"/>
          </w:tcPr>
          <w:p>
            <w:pPr>
              <w:ind w:left="100"/>
              <w:spacing w:after="0"/>
              <w:rPr>
                <w:sz w:val="20"/>
                <w:szCs w:val="20"/>
                <w:color w:val="auto"/>
              </w:rPr>
            </w:pPr>
            <w:r>
              <w:rPr>
                <w:rFonts w:ascii="Times New Roman" w:cs="Times New Roman" w:eastAsia="Times New Roman" w:hAnsi="Times New Roman"/>
                <w:sz w:val="22"/>
                <w:szCs w:val="22"/>
                <w:color w:val="auto"/>
              </w:rPr>
              <w:t>parte non pertinente allo specifico provvedimento illustrato</w:t>
            </w:r>
          </w:p>
        </w:tc>
        <w:tc>
          <w:tcPr>
            <w:tcW w:w="0" w:type="dxa"/>
            <w:vAlign w:val="bottom"/>
          </w:tcPr>
          <w:p>
            <w:pPr>
              <w:spacing w:after="0"/>
              <w:rPr>
                <w:sz w:val="1"/>
                <w:szCs w:val="1"/>
                <w:color w:val="auto"/>
              </w:rPr>
            </w:pPr>
          </w:p>
        </w:tc>
      </w:tr>
      <w:tr>
        <w:trPr>
          <w:trHeight w:val="245"/>
        </w:trPr>
        <w:tc>
          <w:tcPr>
            <w:tcW w:w="240" w:type="dxa"/>
            <w:vAlign w:val="bottom"/>
            <w:tcBorders>
              <w:left w:val="single" w:sz="8" w:color="auto"/>
            </w:tcBorders>
            <w:vMerge w:val="continue"/>
          </w:tcPr>
          <w:p>
            <w:pPr>
              <w:spacing w:after="0"/>
              <w:rPr>
                <w:sz w:val="21"/>
                <w:szCs w:val="21"/>
                <w:color w:val="auto"/>
              </w:rPr>
            </w:pPr>
          </w:p>
        </w:tc>
        <w:tc>
          <w:tcPr>
            <w:tcW w:w="1300" w:type="dxa"/>
            <w:vAlign w:val="bottom"/>
            <w:tcBorders>
              <w:right w:val="single" w:sz="8" w:color="auto"/>
            </w:tcBorders>
            <w:vMerge w:val="continue"/>
          </w:tcPr>
          <w:p>
            <w:pPr>
              <w:spacing w:after="0"/>
              <w:rPr>
                <w:sz w:val="21"/>
                <w:szCs w:val="21"/>
                <w:color w:val="auto"/>
              </w:rPr>
            </w:pPr>
          </w:p>
        </w:tc>
        <w:tc>
          <w:tcPr>
            <w:tcW w:w="1840" w:type="dxa"/>
            <w:vAlign w:val="bottom"/>
            <w:tcBorders>
              <w:right w:val="single" w:sz="8" w:color="auto"/>
            </w:tcBorders>
          </w:tcPr>
          <w:p>
            <w:pPr>
              <w:ind w:left="100"/>
              <w:spacing w:after="0"/>
              <w:rPr>
                <w:sz w:val="20"/>
                <w:szCs w:val="20"/>
                <w:color w:val="auto"/>
              </w:rPr>
            </w:pPr>
            <w:r>
              <w:rPr>
                <w:rFonts w:ascii="Calibri" w:cs="Calibri" w:eastAsia="Calibri" w:hAnsi="Calibri"/>
                <w:sz w:val="20"/>
                <w:szCs w:val="20"/>
                <w:b w:val="1"/>
                <w:bCs w:val="1"/>
                <w:color w:val="auto"/>
              </w:rPr>
              <w:t>alla Relazione</w:t>
            </w:r>
          </w:p>
        </w:tc>
        <w:tc>
          <w:tcPr>
            <w:tcW w:w="6240" w:type="dxa"/>
            <w:vAlign w:val="bottom"/>
            <w:tcBorders>
              <w:right w:val="single" w:sz="8" w:color="auto"/>
            </w:tcBorders>
            <w:vMerge w:val="continue"/>
          </w:tcPr>
          <w:p>
            <w:pPr>
              <w:spacing w:after="0"/>
              <w:rPr>
                <w:sz w:val="21"/>
                <w:szCs w:val="21"/>
                <w:color w:val="auto"/>
              </w:rPr>
            </w:pPr>
          </w:p>
        </w:tc>
        <w:tc>
          <w:tcPr>
            <w:tcW w:w="0" w:type="dxa"/>
            <w:vAlign w:val="bottom"/>
          </w:tcPr>
          <w:p>
            <w:pPr>
              <w:spacing w:after="0"/>
              <w:rPr>
                <w:sz w:val="1"/>
                <w:szCs w:val="1"/>
                <w:color w:val="auto"/>
              </w:rPr>
            </w:pPr>
          </w:p>
        </w:tc>
      </w:tr>
      <w:tr>
        <w:trPr>
          <w:trHeight w:val="253"/>
        </w:trPr>
        <w:tc>
          <w:tcPr>
            <w:tcW w:w="240" w:type="dxa"/>
            <w:vAlign w:val="bottom"/>
            <w:tcBorders>
              <w:left w:val="single" w:sz="8" w:color="auto"/>
            </w:tcBorders>
            <w:vMerge w:val="continue"/>
          </w:tcPr>
          <w:p>
            <w:pPr>
              <w:spacing w:after="0"/>
              <w:rPr>
                <w:sz w:val="22"/>
                <w:szCs w:val="22"/>
                <w:color w:val="auto"/>
              </w:rPr>
            </w:pPr>
          </w:p>
        </w:tc>
        <w:tc>
          <w:tcPr>
            <w:tcW w:w="1300" w:type="dxa"/>
            <w:vAlign w:val="bottom"/>
            <w:tcBorders>
              <w:right w:val="single" w:sz="8" w:color="auto"/>
            </w:tcBorders>
            <w:vMerge w:val="continue"/>
          </w:tcPr>
          <w:p>
            <w:pPr>
              <w:spacing w:after="0"/>
              <w:rPr>
                <w:sz w:val="22"/>
                <w:szCs w:val="22"/>
                <w:color w:val="auto"/>
              </w:rPr>
            </w:pPr>
          </w:p>
        </w:tc>
        <w:tc>
          <w:tcPr>
            <w:tcW w:w="1840" w:type="dxa"/>
            <w:vAlign w:val="bottom"/>
            <w:tcBorders>
              <w:right w:val="single" w:sz="8" w:color="auto"/>
            </w:tcBorders>
          </w:tcPr>
          <w:p>
            <w:pPr>
              <w:ind w:left="100"/>
              <w:spacing w:after="0"/>
              <w:rPr>
                <w:sz w:val="20"/>
                <w:szCs w:val="20"/>
                <w:color w:val="auto"/>
              </w:rPr>
            </w:pPr>
            <w:r>
              <w:rPr>
                <w:rFonts w:ascii="Calibri" w:cs="Calibri" w:eastAsia="Calibri" w:hAnsi="Calibri"/>
                <w:sz w:val="20"/>
                <w:szCs w:val="20"/>
                <w:b w:val="1"/>
                <w:bCs w:val="1"/>
                <w:color w:val="auto"/>
              </w:rPr>
              <w:t>illustrativa.</w:t>
            </w:r>
          </w:p>
        </w:tc>
        <w:tc>
          <w:tcPr>
            <w:tcW w:w="6240" w:type="dxa"/>
            <w:vAlign w:val="bottom"/>
            <w:tcBorders>
              <w:right w:val="single" w:sz="8" w:color="auto"/>
            </w:tcBorders>
          </w:tcPr>
          <w:p>
            <w:pPr>
              <w:spacing w:after="0"/>
              <w:rPr>
                <w:sz w:val="22"/>
                <w:szCs w:val="22"/>
                <w:color w:val="auto"/>
              </w:rPr>
            </w:pPr>
          </w:p>
        </w:tc>
        <w:tc>
          <w:tcPr>
            <w:tcW w:w="0" w:type="dxa"/>
            <w:vAlign w:val="bottom"/>
          </w:tcPr>
          <w:p>
            <w:pPr>
              <w:spacing w:after="0"/>
              <w:rPr>
                <w:sz w:val="1"/>
                <w:szCs w:val="1"/>
                <w:color w:val="auto"/>
              </w:rPr>
            </w:pPr>
          </w:p>
        </w:tc>
      </w:tr>
      <w:tr>
        <w:trPr>
          <w:trHeight w:val="115"/>
        </w:trPr>
        <w:tc>
          <w:tcPr>
            <w:tcW w:w="240" w:type="dxa"/>
            <w:vAlign w:val="bottom"/>
            <w:tcBorders>
              <w:left w:val="single" w:sz="8" w:color="auto"/>
              <w:bottom w:val="single" w:sz="8" w:color="auto"/>
            </w:tcBorders>
          </w:tcPr>
          <w:p>
            <w:pPr>
              <w:spacing w:after="0"/>
              <w:rPr>
                <w:sz w:val="10"/>
                <w:szCs w:val="10"/>
                <w:color w:val="auto"/>
              </w:rPr>
            </w:pPr>
          </w:p>
        </w:tc>
        <w:tc>
          <w:tcPr>
            <w:tcW w:w="1300" w:type="dxa"/>
            <w:vAlign w:val="bottom"/>
            <w:tcBorders>
              <w:bottom w:val="single" w:sz="8" w:color="auto"/>
              <w:right w:val="single" w:sz="8" w:color="auto"/>
            </w:tcBorders>
          </w:tcPr>
          <w:p>
            <w:pPr>
              <w:spacing w:after="0"/>
              <w:rPr>
                <w:sz w:val="10"/>
                <w:szCs w:val="10"/>
                <w:color w:val="auto"/>
              </w:rPr>
            </w:pPr>
          </w:p>
        </w:tc>
        <w:tc>
          <w:tcPr>
            <w:tcW w:w="1840" w:type="dxa"/>
            <w:vAlign w:val="bottom"/>
            <w:tcBorders>
              <w:bottom w:val="single" w:sz="8" w:color="auto"/>
              <w:right w:val="single" w:sz="8" w:color="auto"/>
            </w:tcBorders>
          </w:tcPr>
          <w:p>
            <w:pPr>
              <w:spacing w:after="0"/>
              <w:rPr>
                <w:sz w:val="10"/>
                <w:szCs w:val="10"/>
                <w:color w:val="auto"/>
              </w:rPr>
            </w:pPr>
          </w:p>
        </w:tc>
        <w:tc>
          <w:tcPr>
            <w:tcW w:w="6240" w:type="dxa"/>
            <w:vAlign w:val="bottom"/>
            <w:tcBorders>
              <w:bottom w:val="single" w:sz="8" w:color="auto"/>
              <w:right w:val="single" w:sz="8" w:color="auto"/>
            </w:tcBorders>
          </w:tcPr>
          <w:p>
            <w:pPr>
              <w:spacing w:after="0"/>
              <w:rPr>
                <w:sz w:val="10"/>
                <w:szCs w:val="10"/>
                <w:color w:val="auto"/>
              </w:rPr>
            </w:pPr>
          </w:p>
        </w:tc>
        <w:tc>
          <w:tcPr>
            <w:tcW w:w="0" w:type="dxa"/>
            <w:vAlign w:val="bottom"/>
          </w:tcPr>
          <w:p>
            <w:pPr>
              <w:spacing w:after="0"/>
              <w:rPr>
                <w:sz w:val="1"/>
                <w:szCs w:val="1"/>
                <w:color w:val="auto"/>
              </w:rPr>
            </w:pPr>
          </w:p>
        </w:tc>
      </w:tr>
    </w:tbl>
    <w:p>
      <w:pPr>
        <w:spacing w:after="0" w:line="118" w:lineRule="exact"/>
        <w:rPr>
          <w:sz w:val="24"/>
          <w:szCs w:val="24"/>
          <w:color w:val="auto"/>
        </w:rPr>
      </w:pPr>
    </w:p>
    <w:p>
      <w:pPr>
        <w:ind w:left="9640"/>
        <w:spacing w:after="0"/>
        <w:rPr>
          <w:sz w:val="20"/>
          <w:szCs w:val="20"/>
          <w:color w:val="auto"/>
        </w:rPr>
      </w:pPr>
      <w:r>
        <w:rPr>
          <w:rFonts w:ascii="Calibri" w:cs="Calibri" w:eastAsia="Calibri" w:hAnsi="Calibri"/>
          <w:sz w:val="22"/>
          <w:szCs w:val="22"/>
          <w:color w:val="auto"/>
        </w:rPr>
        <w:t>1</w:t>
      </w:r>
    </w:p>
    <w:p>
      <w:pPr>
        <w:sectPr>
          <w:pgSz w:w="11900" w:h="16838" w:orient="portrait"/>
          <w:cols w:equalWidth="0" w:num="1">
            <w:col w:w="9760"/>
          </w:cols>
          <w:pgMar w:left="1020" w:top="1440" w:right="1120" w:bottom="707" w:gutter="0" w:footer="0" w:header="0"/>
        </w:sectPr>
      </w:pPr>
    </w:p>
    <w:bookmarkStart w:id="1" w:name="page2"/>
    <w:bookmarkEnd w:id="1"/>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3665220</wp:posOffset>
            </wp:positionH>
            <wp:positionV relativeFrom="page">
              <wp:posOffset>449580</wp:posOffset>
            </wp:positionV>
            <wp:extent cx="581025" cy="6762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clrChange>
                        <a:clrFrom>
                          <a:srgbClr val="FFFFFF"/>
                        </a:clrFrom>
                        <a:clrTo>
                          <a:srgbClr val="FFFFFF">
                            <a:alpha val="0"/>
                          </a:srgbClr>
                        </a:clrTo>
                      </a:clrChange>
                      <a:extLst>
                        <a:ext uri="{28A0092B-C50C-407E-A947-70E740481C1C}"/>
                      </a:extLst>
                    </a:blip>
                    <a:srcRect/>
                    <a:stretch>
                      <a:fillRect/>
                    </a:stretch>
                  </pic:blipFill>
                  <pic:spPr bwMode="auto">
                    <a:xfrm>
                      <a:off x="0" y="0"/>
                      <a:ext cx="581025" cy="676275"/>
                    </a:xfrm>
                    <a:prstGeom prst="rect">
                      <a:avLst/>
                    </a:prstGeom>
                    <a:noFill/>
                  </pic:spPr>
                </pic:pic>
              </a:graphicData>
            </a:graphic>
          </wp:anchor>
        </w:drawing>
      </w:r>
    </w:p>
    <w:p>
      <w:pPr>
        <w:spacing w:after="0" w:line="268" w:lineRule="exact"/>
        <w:rPr>
          <w:sz w:val="20"/>
          <w:szCs w:val="20"/>
          <w:color w:val="auto"/>
        </w:rPr>
      </w:pPr>
    </w:p>
    <w:p>
      <w:pPr>
        <w:spacing w:after="0"/>
        <w:rPr>
          <w:sz w:val="20"/>
          <w:szCs w:val="20"/>
          <w:color w:val="auto"/>
        </w:rPr>
      </w:pPr>
      <w:r>
        <w:rPr>
          <w:rFonts w:ascii="Times New Roman" w:cs="Times New Roman" w:eastAsia="Times New Roman" w:hAnsi="Times New Roman"/>
          <w:sz w:val="35"/>
          <w:szCs w:val="35"/>
          <w:color w:val="auto"/>
        </w:rPr>
        <w:t>Ministero dell’Istruzione, dell’Università e della Ricerca</w:t>
      </w:r>
    </w:p>
    <w:p>
      <w:pPr>
        <w:spacing w:after="0" w:line="279" w:lineRule="exact"/>
        <w:rPr>
          <w:sz w:val="20"/>
          <w:szCs w:val="20"/>
          <w:color w:val="auto"/>
        </w:rPr>
      </w:pPr>
    </w:p>
    <w:p>
      <w:pPr>
        <w:ind w:left="1280"/>
        <w:spacing w:after="0"/>
        <w:rPr>
          <w:sz w:val="20"/>
          <w:szCs w:val="20"/>
          <w:color w:val="auto"/>
        </w:rPr>
      </w:pPr>
      <w:r>
        <w:rPr>
          <w:rFonts w:ascii="Times New Roman" w:cs="Times New Roman" w:eastAsia="Times New Roman" w:hAnsi="Times New Roman"/>
          <w:sz w:val="39"/>
          <w:szCs w:val="39"/>
          <w:color w:val="auto"/>
        </w:rPr>
        <w:t>Ufficio Scolastico Regionale per l’Abruzzo</w:t>
      </w:r>
    </w:p>
    <w:p>
      <w:pPr>
        <w:spacing w:after="0" w:line="185" w:lineRule="exact"/>
        <w:rPr>
          <w:sz w:val="20"/>
          <w:szCs w:val="20"/>
          <w:color w:val="auto"/>
        </w:rPr>
      </w:pPr>
    </w:p>
    <w:p>
      <w:pPr>
        <w:ind w:left="2080"/>
        <w:spacing w:after="0"/>
        <w:rPr>
          <w:sz w:val="20"/>
          <w:szCs w:val="20"/>
          <w:color w:val="auto"/>
        </w:rPr>
      </w:pPr>
      <w:r>
        <w:rPr>
          <w:rFonts w:ascii="Times New Roman" w:cs="Times New Roman" w:eastAsia="Times New Roman" w:hAnsi="Times New Roman"/>
          <w:sz w:val="40"/>
          <w:szCs w:val="40"/>
          <w:color w:val="auto"/>
        </w:rPr>
        <w:t>Direzione Generale – Ufficio 1</w:t>
      </w:r>
    </w:p>
    <w:p>
      <w:pPr>
        <w:ind w:left="2080"/>
        <w:spacing w:after="0"/>
        <w:rPr>
          <w:sz w:val="20"/>
          <w:szCs w:val="20"/>
          <w:color w:val="auto"/>
        </w:rPr>
        <w:sectPr>
          <w:pgSz w:w="11900" w:h="16838" w:orient="portrait"/>
          <w:cols w:equalWidth="0" w:num="1">
            <w:col w:w="8100"/>
          </w:cols>
          <w:pgMar w:left="2180" w:top="1440" w:right="1620" w:bottom="707" w:gutter="0" w:footer="0" w:header="0"/>
        </w:sectPr>
      </w:pPr>
      <w:r>
        <w:rPr>
          <w:sz w:val="20"/>
          <w:szCs w:val="20"/>
          <w:color w:val="auto"/>
        </w:rPr>
        <mc:AlternateContent>
          <mc:Choice Requires="wps">
            <w:drawing>
              <wp:anchor simplePos="0" relativeHeight="251657728" behindDoc="1" locked="0" layoutInCell="0" allowOverlap="1">
                <wp:simplePos x="0" y="0"/>
                <wp:positionH relativeFrom="column">
                  <wp:posOffset>-736600</wp:posOffset>
                </wp:positionH>
                <wp:positionV relativeFrom="paragraph">
                  <wp:posOffset>285115</wp:posOffset>
                </wp:positionV>
                <wp:extent cx="6106160"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106160" cy="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4" o:spid="_x0000_s102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8pt,22.45pt" to="422.8pt,22.45pt" o:allowincell="f" strokecolor="#000000" strokeweight="0.48pt"/>
            </w:pict>
          </mc:Fallback>
        </mc:AlternateContent>
        <mc:AlternateContent>
          <mc:Choice Requires="wps">
            <w:drawing>
              <wp:anchor simplePos="0" relativeHeight="251657728" behindDoc="1" locked="0" layoutInCell="0" allowOverlap="1">
                <wp:simplePos x="0" y="0"/>
                <wp:positionH relativeFrom="column">
                  <wp:posOffset>1402715</wp:posOffset>
                </wp:positionH>
                <wp:positionV relativeFrom="paragraph">
                  <wp:posOffset>914400</wp:posOffset>
                </wp:positionV>
                <wp:extent cx="3966845"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966845" cy="0"/>
                        </a:xfrm>
                        <a:prstGeom prst="line">
                          <a:avLst/>
                        </a:prstGeom>
                        <a:solidFill>
                          <a:srgbClr val="FFFFFF"/>
                        </a:solidFill>
                        <a:ln w="6108">
                          <a:solidFill>
                            <a:srgbClr val="000000"/>
                          </a:solidFill>
                          <a:miter lim="800000"/>
                          <a:headEnd/>
                          <a:tailEnd/>
                        </a:ln>
                      </wps:spPr>
                      <wps:bodyPr/>
                    </wps:wsp>
                  </a:graphicData>
                </a:graphic>
              </wp:anchor>
            </w:drawing>
          </mc:Choice>
          <mc:Fallback>
            <w:pict>
              <v:line id="Shape 5" o:spid="_x0000_s103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10.45pt,72pt" to="422.8pt,72pt" o:allowincell="f" strokecolor="#000000" strokeweight="0.4809pt"/>
            </w:pict>
          </mc:Fallback>
        </mc:AlternateContent>
        <mc:AlternateContent>
          <mc:Choice Requires="wps">
            <w:drawing>
              <wp:anchor simplePos="0" relativeHeight="251657728" behindDoc="1" locked="0" layoutInCell="0" allowOverlap="1">
                <wp:simplePos x="0" y="0"/>
                <wp:positionH relativeFrom="column">
                  <wp:posOffset>1402715</wp:posOffset>
                </wp:positionH>
                <wp:positionV relativeFrom="paragraph">
                  <wp:posOffset>1543685</wp:posOffset>
                </wp:positionV>
                <wp:extent cx="3966845"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966845" cy="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6" o:spid="_x0000_s103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10.45pt,121.55pt" to="422.8pt,121.55pt" o:allowincell="f" strokecolor="#000000" strokeweight="0.48pt"/>
            </w:pict>
          </mc:Fallback>
        </mc:AlternateContent>
        <mc:AlternateContent>
          <mc:Choice Requires="wps">
            <w:drawing>
              <wp:anchor simplePos="0" relativeHeight="251657728" behindDoc="1" locked="0" layoutInCell="0" allowOverlap="1">
                <wp:simplePos x="0" y="0"/>
                <wp:positionH relativeFrom="column">
                  <wp:posOffset>1402715</wp:posOffset>
                </wp:positionH>
                <wp:positionV relativeFrom="paragraph">
                  <wp:posOffset>2173605</wp:posOffset>
                </wp:positionV>
                <wp:extent cx="3966845"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966845" cy="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7" o:spid="_x0000_s103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10.45pt,171.15pt" to="422.8pt,171.15pt" o:allowincell="f" strokecolor="#000000" strokeweight="0.48pt"/>
            </w:pict>
          </mc:Fallback>
        </mc:AlternateContent>
        <mc:AlternateContent>
          <mc:Choice Requires="wps">
            <w:drawing>
              <wp:anchor simplePos="0" relativeHeight="251657728" behindDoc="1" locked="0" layoutInCell="0" allowOverlap="1">
                <wp:simplePos x="0" y="0"/>
                <wp:positionH relativeFrom="column">
                  <wp:posOffset>-736600</wp:posOffset>
                </wp:positionH>
                <wp:positionV relativeFrom="paragraph">
                  <wp:posOffset>2802890</wp:posOffset>
                </wp:positionV>
                <wp:extent cx="6106160" cy="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106160" cy="0"/>
                        </a:xfrm>
                        <a:prstGeom prst="line">
                          <a:avLst/>
                        </a:prstGeom>
                        <a:solidFill>
                          <a:srgbClr val="FFFFFF"/>
                        </a:solidFill>
                        <a:ln w="6108">
                          <a:solidFill>
                            <a:srgbClr val="000000"/>
                          </a:solidFill>
                          <a:miter lim="800000"/>
                          <a:headEnd/>
                          <a:tailEnd/>
                        </a:ln>
                      </wps:spPr>
                      <wps:bodyPr/>
                    </wps:wsp>
                  </a:graphicData>
                </a:graphic>
              </wp:anchor>
            </w:drawing>
          </mc:Choice>
          <mc:Fallback>
            <w:pict>
              <v:line id="Shape 8" o:spid="_x0000_s103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8pt,220.7pt" to="422.8pt,220.7pt" o:allowincell="f" strokecolor="#000000" strokeweight="0.4809pt"/>
            </w:pict>
          </mc:Fallback>
        </mc:AlternateContent>
        <mc:AlternateContent>
          <mc:Choice Requires="wps">
            <w:drawing>
              <wp:anchor simplePos="0" relativeHeight="251657728" behindDoc="1" locked="0" layoutInCell="0" allowOverlap="1">
                <wp:simplePos x="0" y="0"/>
                <wp:positionH relativeFrom="column">
                  <wp:posOffset>235585</wp:posOffset>
                </wp:positionH>
                <wp:positionV relativeFrom="paragraph">
                  <wp:posOffset>281940</wp:posOffset>
                </wp:positionV>
                <wp:extent cx="0" cy="2524125"/>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0" cy="2524125"/>
                        </a:xfrm>
                        <a:prstGeom prst="line">
                          <a:avLst/>
                        </a:prstGeom>
                        <a:solidFill>
                          <a:srgbClr val="FFFFFF"/>
                        </a:solidFill>
                        <a:ln w="6096">
                          <a:solidFill>
                            <a:srgbClr val="000000"/>
                          </a:solidFill>
                          <a:miter lim="800000"/>
                          <a:headEnd/>
                          <a:tailEnd/>
                        </a:ln>
                      </wps:spPr>
                      <wps:bodyPr/>
                    </wps:wsp>
                  </a:graphicData>
                </a:graphic>
              </wp:anchor>
            </w:drawing>
          </mc:Choice>
          <mc:Fallback>
            <w:pict>
              <v:line id="Shape 9" o:spid="_x0000_s103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8.55pt,22.2pt" to="18.55pt,220.95pt" o:allowincell="f" strokecolor="#000000" strokeweight="0.48pt"/>
            </w:pict>
          </mc:Fallback>
        </mc:AlternateContent>
        <mc:AlternateContent>
          <mc:Choice Requires="wps">
            <w:drawing>
              <wp:anchor simplePos="0" relativeHeight="251657728" behindDoc="1" locked="0" layoutInCell="0" allowOverlap="1">
                <wp:simplePos x="0" y="0"/>
                <wp:positionH relativeFrom="column">
                  <wp:posOffset>1405890</wp:posOffset>
                </wp:positionH>
                <wp:positionV relativeFrom="paragraph">
                  <wp:posOffset>281940</wp:posOffset>
                </wp:positionV>
                <wp:extent cx="0" cy="2524125"/>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0" cy="2524125"/>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0" o:spid="_x0000_s103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10.7pt,22.2pt" to="110.7pt,220.95pt" o:allowincell="f" strokecolor="#000000" strokeweight="0.48pt"/>
            </w:pict>
          </mc:Fallback>
        </mc:AlternateContent>
        <mc:AlternateContent>
          <mc:Choice Requires="wps">
            <w:drawing>
              <wp:anchor simplePos="0" relativeHeight="251657728" behindDoc="1" locked="0" layoutInCell="0" allowOverlap="1">
                <wp:simplePos x="0" y="0"/>
                <wp:positionH relativeFrom="column">
                  <wp:posOffset>-733425</wp:posOffset>
                </wp:positionH>
                <wp:positionV relativeFrom="paragraph">
                  <wp:posOffset>281940</wp:posOffset>
                </wp:positionV>
                <wp:extent cx="0" cy="2997835"/>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0" cy="2997835"/>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1" o:spid="_x0000_s103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7.7499pt,22.2pt" to="-57.7499pt,258.25pt" o:allowincell="f" strokecolor="#000000" strokeweight="0.4799pt"/>
            </w:pict>
          </mc:Fallback>
        </mc:AlternateContent>
        <mc:AlternateContent>
          <mc:Choice Requires="wps">
            <w:drawing>
              <wp:anchor simplePos="0" relativeHeight="251657728" behindDoc="1" locked="0" layoutInCell="0" allowOverlap="1">
                <wp:simplePos x="0" y="0"/>
                <wp:positionH relativeFrom="column">
                  <wp:posOffset>5367020</wp:posOffset>
                </wp:positionH>
                <wp:positionV relativeFrom="paragraph">
                  <wp:posOffset>281940</wp:posOffset>
                </wp:positionV>
                <wp:extent cx="0" cy="2997835"/>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0" cy="2997835"/>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22.6pt,22.2pt" to="422.6pt,258.25pt" o:allowincell="f" strokecolor="#000000" strokeweight="0.48pt"/>
            </w:pict>
          </mc:Fallback>
        </mc:AlternateConten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7" w:lineRule="exact"/>
        <w:rPr>
          <w:sz w:val="20"/>
          <w:szCs w:val="20"/>
          <w:color w:val="auto"/>
        </w:rPr>
      </w:pPr>
    </w:p>
    <w:p>
      <w:pPr>
        <w:spacing w:after="0" w:line="254" w:lineRule="auto"/>
        <w:rPr>
          <w:sz w:val="20"/>
          <w:szCs w:val="20"/>
          <w:color w:val="auto"/>
        </w:rPr>
      </w:pPr>
      <w:r>
        <w:rPr>
          <w:rFonts w:ascii="Calibri" w:cs="Calibri" w:eastAsia="Calibri" w:hAnsi="Calibri"/>
          <w:sz w:val="19"/>
          <w:szCs w:val="19"/>
          <w:b w:val="1"/>
          <w:bCs w:val="1"/>
          <w:color w:val="auto"/>
        </w:rPr>
        <w:t>Attestazione del rispetto degli obblighi di legge che in caso di inadempimento comportano la sanzione del divieto di erogazione della retribuzione accessoria</w:t>
      </w:r>
    </w:p>
    <w:p>
      <w:pPr>
        <w:spacing w:after="0" w:line="200" w:lineRule="exact"/>
        <w:rPr>
          <w:sz w:val="20"/>
          <w:szCs w:val="20"/>
          <w:color w:val="auto"/>
        </w:rPr>
      </w:pPr>
      <w:r>
        <w:rPr>
          <w:sz w:val="20"/>
          <w:szCs w:val="20"/>
          <w:color w:val="auto"/>
        </w:rPr>
        <w:br w:type="column"/>
      </w:r>
    </w:p>
    <w:p>
      <w:pPr>
        <w:spacing w:after="0" w:line="252" w:lineRule="exact"/>
        <w:rPr>
          <w:sz w:val="20"/>
          <w:szCs w:val="20"/>
          <w:color w:val="auto"/>
        </w:rPr>
      </w:pPr>
    </w:p>
    <w:p>
      <w:pPr>
        <w:spacing w:after="0"/>
        <w:rPr>
          <w:sz w:val="20"/>
          <w:szCs w:val="20"/>
          <w:color w:val="auto"/>
        </w:rPr>
      </w:pPr>
      <w:r>
        <w:rPr>
          <w:rFonts w:ascii="Calibri" w:cs="Calibri" w:eastAsia="Calibri" w:hAnsi="Calibri"/>
          <w:sz w:val="20"/>
          <w:szCs w:val="20"/>
          <w:color w:val="auto"/>
        </w:rPr>
        <w:t>È stato adottato il Piano della performance previsto dall’art. 10 del d.lgs.</w:t>
      </w:r>
    </w:p>
    <w:p>
      <w:pPr>
        <w:spacing w:after="0"/>
        <w:rPr>
          <w:sz w:val="20"/>
          <w:szCs w:val="20"/>
          <w:color w:val="auto"/>
        </w:rPr>
      </w:pPr>
      <w:r>
        <w:rPr>
          <w:rFonts w:ascii="Calibri" w:cs="Calibri" w:eastAsia="Calibri" w:hAnsi="Calibri"/>
          <w:sz w:val="20"/>
          <w:szCs w:val="20"/>
          <w:color w:val="auto"/>
        </w:rPr>
        <w:t>150/2009</w:t>
      </w:r>
    </w:p>
    <w:p>
      <w:pPr>
        <w:spacing w:after="0" w:line="100" w:lineRule="exact"/>
        <w:rPr>
          <w:sz w:val="20"/>
          <w:szCs w:val="20"/>
          <w:color w:val="auto"/>
        </w:rPr>
      </w:pPr>
    </w:p>
    <w:p>
      <w:pPr>
        <w:spacing w:after="0"/>
        <w:rPr>
          <w:sz w:val="20"/>
          <w:szCs w:val="20"/>
          <w:color w:val="auto"/>
        </w:rPr>
      </w:pPr>
      <w:r>
        <w:rPr>
          <w:rFonts w:ascii="Times New Roman" w:cs="Times New Roman" w:eastAsia="Times New Roman" w:hAnsi="Times New Roman"/>
          <w:sz w:val="22"/>
          <w:szCs w:val="22"/>
          <w:color w:val="auto"/>
        </w:rPr>
        <w:t>parte non pertinente allo specifico provvedimento illustrato</w:t>
      </w:r>
    </w:p>
    <w:p>
      <w:pPr>
        <w:spacing w:after="0" w:line="150" w:lineRule="exact"/>
        <w:rPr>
          <w:sz w:val="20"/>
          <w:szCs w:val="20"/>
          <w:color w:val="auto"/>
        </w:rPr>
      </w:pPr>
    </w:p>
    <w:p>
      <w:pPr>
        <w:spacing w:after="0" w:line="247" w:lineRule="auto"/>
        <w:rPr>
          <w:sz w:val="20"/>
          <w:szCs w:val="20"/>
          <w:color w:val="auto"/>
        </w:rPr>
      </w:pPr>
      <w:r>
        <w:rPr>
          <w:rFonts w:ascii="Calibri" w:cs="Calibri" w:eastAsia="Calibri" w:hAnsi="Calibri"/>
          <w:sz w:val="20"/>
          <w:szCs w:val="20"/>
          <w:color w:val="auto"/>
        </w:rPr>
        <w:t>È stato adottato il Programma triennale per la trasparenza e l’integrità previsto dall’art. 11, comma 2 del d.lgs. 150/2009</w:t>
      </w:r>
    </w:p>
    <w:p>
      <w:pPr>
        <w:spacing w:after="0" w:line="86" w:lineRule="exact"/>
        <w:rPr>
          <w:sz w:val="20"/>
          <w:szCs w:val="20"/>
          <w:color w:val="auto"/>
        </w:rPr>
      </w:pPr>
    </w:p>
    <w:p>
      <w:pPr>
        <w:spacing w:after="0"/>
        <w:rPr>
          <w:sz w:val="20"/>
          <w:szCs w:val="20"/>
          <w:color w:val="auto"/>
        </w:rPr>
      </w:pPr>
      <w:r>
        <w:rPr>
          <w:rFonts w:ascii="Times New Roman" w:cs="Times New Roman" w:eastAsia="Times New Roman" w:hAnsi="Times New Roman"/>
          <w:sz w:val="22"/>
          <w:szCs w:val="22"/>
          <w:color w:val="auto"/>
        </w:rPr>
        <w:t>parte non pertinente allo specifico provvedimento illustrato</w:t>
      </w:r>
    </w:p>
    <w:p>
      <w:pPr>
        <w:spacing w:after="0" w:line="150" w:lineRule="exact"/>
        <w:rPr>
          <w:sz w:val="20"/>
          <w:szCs w:val="20"/>
          <w:color w:val="auto"/>
        </w:rPr>
      </w:pPr>
    </w:p>
    <w:p>
      <w:pPr>
        <w:spacing w:after="0" w:line="248" w:lineRule="auto"/>
        <w:rPr>
          <w:sz w:val="20"/>
          <w:szCs w:val="20"/>
          <w:color w:val="auto"/>
        </w:rPr>
      </w:pPr>
      <w:r>
        <w:rPr>
          <w:rFonts w:ascii="Calibri" w:cs="Calibri" w:eastAsia="Calibri" w:hAnsi="Calibri"/>
          <w:sz w:val="20"/>
          <w:szCs w:val="20"/>
          <w:color w:val="auto"/>
        </w:rPr>
        <w:t>È stato assolto l’obbligo di pubblicazione di cui ai commi 6 e 8 dell’art. 11 del d.lgs. 150/2009</w:t>
      </w:r>
    </w:p>
    <w:p>
      <w:pPr>
        <w:spacing w:after="0" w:line="84" w:lineRule="exact"/>
        <w:rPr>
          <w:sz w:val="20"/>
          <w:szCs w:val="20"/>
          <w:color w:val="auto"/>
        </w:rPr>
      </w:pPr>
    </w:p>
    <w:p>
      <w:pPr>
        <w:spacing w:after="0"/>
        <w:rPr>
          <w:sz w:val="20"/>
          <w:szCs w:val="20"/>
          <w:color w:val="auto"/>
        </w:rPr>
      </w:pPr>
      <w:r>
        <w:rPr>
          <w:rFonts w:ascii="Times New Roman" w:cs="Times New Roman" w:eastAsia="Times New Roman" w:hAnsi="Times New Roman"/>
          <w:sz w:val="22"/>
          <w:szCs w:val="22"/>
          <w:color w:val="auto"/>
        </w:rPr>
        <w:t>parte non pertinente allo specifico provvedimento illustrato</w:t>
      </w:r>
    </w:p>
    <w:p>
      <w:pPr>
        <w:spacing w:after="0" w:line="150" w:lineRule="exact"/>
        <w:rPr>
          <w:sz w:val="20"/>
          <w:szCs w:val="20"/>
          <w:color w:val="auto"/>
        </w:rPr>
      </w:pPr>
    </w:p>
    <w:p>
      <w:pPr>
        <w:spacing w:after="0" w:line="247" w:lineRule="auto"/>
        <w:rPr>
          <w:sz w:val="20"/>
          <w:szCs w:val="20"/>
          <w:color w:val="auto"/>
        </w:rPr>
      </w:pPr>
      <w:r>
        <w:rPr>
          <w:rFonts w:ascii="Calibri" w:cs="Calibri" w:eastAsia="Calibri" w:hAnsi="Calibri"/>
          <w:sz w:val="20"/>
          <w:szCs w:val="20"/>
          <w:color w:val="auto"/>
        </w:rPr>
        <w:t>La Relazione della Performance è stata validata dall’OIV ai sensi dell’articolo 14, comma 6. del d.lgs. n. 150/2009?</w:t>
      </w:r>
    </w:p>
    <w:p>
      <w:pPr>
        <w:spacing w:after="0" w:line="86" w:lineRule="exact"/>
        <w:rPr>
          <w:sz w:val="20"/>
          <w:szCs w:val="20"/>
          <w:color w:val="auto"/>
        </w:rPr>
      </w:pPr>
    </w:p>
    <w:p>
      <w:pPr>
        <w:spacing w:after="0"/>
        <w:rPr>
          <w:sz w:val="20"/>
          <w:szCs w:val="20"/>
          <w:color w:val="auto"/>
        </w:rPr>
      </w:pPr>
      <w:r>
        <w:rPr>
          <w:rFonts w:ascii="Times New Roman" w:cs="Times New Roman" w:eastAsia="Times New Roman" w:hAnsi="Times New Roman"/>
          <w:sz w:val="22"/>
          <w:szCs w:val="22"/>
          <w:color w:val="auto"/>
        </w:rPr>
        <w:t>parte non pertinente allo specifico provvedimento illustrato</w:t>
      </w:r>
    </w:p>
    <w:p>
      <w:pPr>
        <w:sectPr>
          <w:pgSz w:w="11900" w:h="16838" w:orient="portrait"/>
          <w:cols w:equalWidth="0" w:num="2">
            <w:col w:w="1360" w:space="480"/>
            <w:col w:w="6020"/>
          </w:cols>
          <w:pgMar w:left="2660" w:top="1440" w:right="1380" w:bottom="707" w:gutter="0" w:footer="0" w:header="0"/>
          <w:type w:val="continuous"/>
        </w:sectPr>
      </w:pPr>
    </w:p>
    <w:p>
      <w:pPr>
        <w:spacing w:after="0" w:line="150" w:lineRule="exact"/>
        <w:rPr>
          <w:sz w:val="20"/>
          <w:szCs w:val="20"/>
          <w:color w:val="auto"/>
        </w:rPr>
      </w:pPr>
    </w:p>
    <w:p>
      <w:pPr>
        <w:spacing w:after="0"/>
        <w:rPr>
          <w:sz w:val="20"/>
          <w:szCs w:val="20"/>
          <w:color w:val="auto"/>
        </w:rPr>
      </w:pPr>
      <w:r>
        <w:rPr>
          <w:rFonts w:ascii="Calibri" w:cs="Calibri" w:eastAsia="Calibri" w:hAnsi="Calibri"/>
          <w:sz w:val="20"/>
          <w:szCs w:val="20"/>
          <w:b w:val="1"/>
          <w:bCs w:val="1"/>
          <w:color w:val="auto"/>
        </w:rPr>
        <w:t>Eventuali osservazioni</w:t>
      </w:r>
    </w:p>
    <w:p>
      <w:pPr>
        <w:spacing w:after="0" w:line="100" w:lineRule="exact"/>
        <w:rPr>
          <w:sz w:val="20"/>
          <w:szCs w:val="20"/>
          <w:color w:val="auto"/>
        </w:rPr>
      </w:pPr>
    </w:p>
    <w:p>
      <w:pPr>
        <w:spacing w:after="0"/>
        <w:rPr>
          <w:sz w:val="20"/>
          <w:szCs w:val="20"/>
          <w:color w:val="auto"/>
        </w:rPr>
      </w:pPr>
      <w:r>
        <w:rPr>
          <w:rFonts w:ascii="Times New Roman" w:cs="Times New Roman" w:eastAsia="Times New Roman" w:hAnsi="Times New Roman"/>
          <w:sz w:val="22"/>
          <w:szCs w:val="22"/>
          <w:color w:val="auto"/>
        </w:rPr>
        <w:t>atto unilaterale disposto ai sensi dell’art. 40, comma 3 ter, del D.lgs. n.165/2001</w:t>
      </w:r>
    </w:p>
    <w:p>
      <w:pPr>
        <w:spacing w:after="0" w:line="20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-76200</wp:posOffset>
                </wp:positionH>
                <wp:positionV relativeFrom="paragraph">
                  <wp:posOffset>92710</wp:posOffset>
                </wp:positionV>
                <wp:extent cx="6106160" cy="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106160" cy="0"/>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3" o:spid="_x0000_s103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6pt,7.3pt" to="474.8pt,7.3pt" o:allowincell="f" strokecolor="#000000" strokeweight="0.4799pt"/>
            </w:pict>
          </mc:Fallback>
        </mc:AlternateContent>
      </w:r>
    </w:p>
    <w:p>
      <w:pPr>
        <w:spacing w:after="0" w:line="200" w:lineRule="exact"/>
        <w:rPr>
          <w:sz w:val="20"/>
          <w:szCs w:val="20"/>
          <w:color w:val="auto"/>
        </w:rPr>
      </w:pPr>
    </w:p>
    <w:p>
      <w:pPr>
        <w:spacing w:after="0" w:line="373" w:lineRule="exact"/>
        <w:rPr>
          <w:sz w:val="20"/>
          <w:szCs w:val="20"/>
          <w:color w:val="auto"/>
        </w:rPr>
      </w:pPr>
    </w:p>
    <w:p>
      <w:pPr>
        <w:jc w:val="both"/>
        <w:ind w:left="360" w:hanging="356"/>
        <w:spacing w:after="0" w:line="246" w:lineRule="auto"/>
        <w:rPr>
          <w:sz w:val="20"/>
          <w:szCs w:val="20"/>
          <w:color w:val="auto"/>
        </w:rPr>
      </w:pPr>
      <w:r>
        <w:rPr>
          <w:rFonts w:ascii="Calibri" w:cs="Calibri" w:eastAsia="Calibri" w:hAnsi="Calibri"/>
          <w:sz w:val="22"/>
          <w:szCs w:val="22"/>
          <w:b w:val="1"/>
          <w:bCs w:val="1"/>
          <w:i w:val="1"/>
          <w:iCs w:val="1"/>
          <w:color w:val="auto"/>
        </w:rPr>
        <w:t>I.2 - Modulo 2 Illustrazione dell’articolato del Provvedimento (Attestazione della compatibilità con i vincoli derivanti da norme di legge e di contratto nazionale –modalità di utilizzo delle risorse accessorie - risultati attesi - altre informazioni utili)</w:t>
      </w:r>
    </w:p>
    <w:p>
      <w:pPr>
        <w:spacing w:after="0" w:line="20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-22225</wp:posOffset>
                </wp:positionH>
                <wp:positionV relativeFrom="paragraph">
                  <wp:posOffset>8890</wp:posOffset>
                </wp:positionV>
                <wp:extent cx="6156325" cy="0"/>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156325" cy="0"/>
                        </a:xfrm>
                        <a:prstGeom prst="line">
                          <a:avLst/>
                        </a:prstGeom>
                        <a:solidFill>
                          <a:srgbClr val="FFFFFF"/>
                        </a:solidFill>
                        <a:ln w="6096">
                          <a:solidFill>
                            <a:srgbClr val="C0C0C0"/>
                          </a:solidFill>
                          <a:miter lim="800000"/>
                          <a:headEnd/>
                          <a:tailEnd/>
                        </a:ln>
                      </wps:spPr>
                      <wps:bodyPr/>
                    </wps:wsp>
                  </a:graphicData>
                </a:graphic>
              </wp:anchor>
            </w:drawing>
          </mc:Choice>
          <mc:Fallback>
            <w:pict>
              <v:line id="Shape 14" o:spid="_x0000_s103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7499pt,0.7pt" to="483pt,0.7pt" o:allowincell="f" strokecolor="#C0C0C0" strokeweight="0.48pt"/>
            </w:pict>
          </mc:Fallback>
        </mc:AlternateContent>
      </w:r>
    </w:p>
    <w:p>
      <w:pPr>
        <w:spacing w:after="0" w:line="213" w:lineRule="exact"/>
        <w:rPr>
          <w:sz w:val="20"/>
          <w:szCs w:val="20"/>
          <w:color w:val="auto"/>
        </w:rPr>
      </w:pPr>
    </w:p>
    <w:p>
      <w:pPr>
        <w:jc w:val="both"/>
        <w:spacing w:after="0" w:line="311" w:lineRule="auto"/>
        <w:rPr>
          <w:sz w:val="20"/>
          <w:szCs w:val="20"/>
          <w:color w:val="auto"/>
        </w:rPr>
      </w:pPr>
      <w:r>
        <w:rPr>
          <w:rFonts w:ascii="Times New Roman" w:cs="Times New Roman" w:eastAsia="Times New Roman" w:hAnsi="Times New Roman"/>
          <w:sz w:val="22"/>
          <w:szCs w:val="22"/>
          <w:color w:val="auto"/>
        </w:rPr>
        <w:t>La presente relazione illustrativa viene prodotta ai sensi dell’art. 40 bis, comma 5, del D.Lgs. 30 marzo 2001, n. 165 come modificato dal D.Lgs. n. 150/2009 a corredo dell’Ipotesi di Atto Unilaterale dell’Ufficio Scolastico Regionale per l’Abruzzo – adottato ai sensi dell’art.40,comma 3 ter del D.lgs n.165/2001 - per la ripartizione del fondo regionale per la retribuzione di posizione e di risultato dei Dirigenti Scolastici della regione Abruzzo per l’anno scolastico 2014/2015.</w:t>
      </w:r>
    </w:p>
    <w:p>
      <w:pPr>
        <w:spacing w:after="0" w:line="80" w:lineRule="exact"/>
        <w:rPr>
          <w:sz w:val="20"/>
          <w:szCs w:val="20"/>
          <w:color w:val="auto"/>
        </w:rPr>
      </w:pPr>
    </w:p>
    <w:p>
      <w:pPr>
        <w:jc w:val="both"/>
        <w:spacing w:after="0" w:line="310" w:lineRule="auto"/>
        <w:rPr>
          <w:sz w:val="20"/>
          <w:szCs w:val="20"/>
          <w:color w:val="auto"/>
        </w:rPr>
      </w:pPr>
      <w:r>
        <w:rPr>
          <w:rFonts w:ascii="Times New Roman" w:cs="Times New Roman" w:eastAsia="Times New Roman" w:hAnsi="Times New Roman"/>
          <w:sz w:val="22"/>
          <w:szCs w:val="22"/>
          <w:color w:val="auto"/>
        </w:rPr>
        <w:t>Nell’incontro in data 26 settembre 2016 tra le Organizzazioni Sindacali regionali dell’Area V della Dirigenza scolastica (ANP-CIDA, FLC-CGIL, CISL-SCUOLA, UIL-SCUOLA e SNALS-CONFSAL) e la Delegazione di parte pubblica - individuata con provvedimento del Direttore Generale prot. n. AOODRAB 202 del 10/01/2013 - non si è raggiunto un accordo per la sottoscrizione di una Ipotesi di Contratto Integrativo Regionale poiché le suddette OO.SS. hanno espresso la volontà di non sottoscrivere alcun contratto integrativo in merito alle retribuzioni di posizione e di risultato dei dirigenti scolastici.</w:t>
      </w:r>
    </w:p>
    <w:p>
      <w:pPr>
        <w:spacing w:after="0" w:line="80" w:lineRule="exact"/>
        <w:rPr>
          <w:sz w:val="20"/>
          <w:szCs w:val="20"/>
          <w:color w:val="auto"/>
        </w:rPr>
      </w:pPr>
    </w:p>
    <w:p>
      <w:pPr>
        <w:jc w:val="both"/>
        <w:spacing w:after="0" w:line="320" w:lineRule="auto"/>
        <w:rPr>
          <w:sz w:val="20"/>
          <w:szCs w:val="20"/>
          <w:color w:val="auto"/>
        </w:rPr>
      </w:pPr>
      <w:r>
        <w:rPr>
          <w:rFonts w:ascii="Times New Roman" w:cs="Times New Roman" w:eastAsia="Times New Roman" w:hAnsi="Times New Roman"/>
          <w:sz w:val="22"/>
          <w:szCs w:val="22"/>
          <w:color w:val="auto"/>
        </w:rPr>
        <w:t>L’Ufficio Scolastico Regionale, preso atto di tale volontà, procede ai sensi dell’art. 40, comma 3 ter, del D.lgs. n.165/2001 con atto unilaterale alla ripartizione del fondo regionale per la retribuzione di posizione e di risultato dei Dirigenti Scolastici della regione Abruzzo per l’anno scolastico 2014/2015.</w:t>
      </w:r>
    </w:p>
    <w:p>
      <w:pPr>
        <w:spacing w:after="0" w:line="106" w:lineRule="exact"/>
        <w:rPr>
          <w:sz w:val="20"/>
          <w:szCs w:val="20"/>
          <w:color w:val="auto"/>
        </w:rPr>
      </w:pPr>
    </w:p>
    <w:p>
      <w:pPr>
        <w:ind w:left="9520"/>
        <w:spacing w:after="0"/>
        <w:rPr>
          <w:sz w:val="20"/>
          <w:szCs w:val="20"/>
          <w:color w:val="auto"/>
        </w:rPr>
      </w:pPr>
      <w:r>
        <w:rPr>
          <w:rFonts w:ascii="Calibri" w:cs="Calibri" w:eastAsia="Calibri" w:hAnsi="Calibri"/>
          <w:sz w:val="22"/>
          <w:szCs w:val="22"/>
          <w:color w:val="auto"/>
        </w:rPr>
        <w:t>2</w:t>
      </w:r>
    </w:p>
    <w:p>
      <w:pPr>
        <w:sectPr>
          <w:pgSz w:w="11900" w:h="16838" w:orient="portrait"/>
          <w:cols w:equalWidth="0" w:num="1">
            <w:col w:w="9640"/>
          </w:cols>
          <w:pgMar w:left="1140" w:top="1440" w:right="1120" w:bottom="707" w:gutter="0" w:footer="0" w:header="0"/>
          <w:type w:val="continuous"/>
        </w:sectPr>
      </w:pPr>
    </w:p>
    <w:bookmarkStart w:id="2" w:name="page3"/>
    <w:bookmarkEnd w:id="2"/>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3665220</wp:posOffset>
            </wp:positionH>
            <wp:positionV relativeFrom="page">
              <wp:posOffset>449580</wp:posOffset>
            </wp:positionV>
            <wp:extent cx="581025" cy="67627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a:clrChange>
                        <a:clrFrom>
                          <a:srgbClr val="FFFFFF"/>
                        </a:clrFrom>
                        <a:clrTo>
                          <a:srgbClr val="FFFFFF">
                            <a:alpha val="0"/>
                          </a:srgbClr>
                        </a:clrTo>
                      </a:clrChange>
                      <a:extLst>
                        <a:ext uri="{28A0092B-C50C-407E-A947-70E740481C1C}"/>
                      </a:extLst>
                    </a:blip>
                    <a:srcRect/>
                    <a:stretch>
                      <a:fillRect/>
                    </a:stretch>
                  </pic:blipFill>
                  <pic:spPr bwMode="auto">
                    <a:xfrm>
                      <a:off x="0" y="0"/>
                      <a:ext cx="581025" cy="676275"/>
                    </a:xfrm>
                    <a:prstGeom prst="rect">
                      <a:avLst/>
                    </a:prstGeom>
                    <a:noFill/>
                  </pic:spPr>
                </pic:pic>
              </a:graphicData>
            </a:graphic>
          </wp:anchor>
        </w:drawing>
      </w:r>
    </w:p>
    <w:p>
      <w:pPr>
        <w:spacing w:after="0" w:line="268" w:lineRule="exact"/>
        <w:rPr>
          <w:sz w:val="20"/>
          <w:szCs w:val="20"/>
          <w:color w:val="auto"/>
        </w:rPr>
      </w:pPr>
    </w:p>
    <w:p>
      <w:pPr>
        <w:ind w:left="1040"/>
        <w:spacing w:after="0"/>
        <w:rPr>
          <w:sz w:val="20"/>
          <w:szCs w:val="20"/>
          <w:color w:val="auto"/>
        </w:rPr>
      </w:pPr>
      <w:r>
        <w:rPr>
          <w:rFonts w:ascii="Times New Roman" w:cs="Times New Roman" w:eastAsia="Times New Roman" w:hAnsi="Times New Roman"/>
          <w:sz w:val="37"/>
          <w:szCs w:val="37"/>
          <w:color w:val="auto"/>
        </w:rPr>
        <w:t>Ministero dell’Istruzione, dell’Università e della Ricerca</w:t>
      </w:r>
    </w:p>
    <w:p>
      <w:pPr>
        <w:spacing w:after="0" w:line="256" w:lineRule="exact"/>
        <w:rPr>
          <w:sz w:val="20"/>
          <w:szCs w:val="20"/>
          <w:color w:val="auto"/>
        </w:rPr>
      </w:pPr>
    </w:p>
    <w:p>
      <w:pPr>
        <w:ind w:left="2320"/>
        <w:spacing w:after="0"/>
        <w:rPr>
          <w:sz w:val="20"/>
          <w:szCs w:val="20"/>
          <w:color w:val="auto"/>
        </w:rPr>
      </w:pPr>
      <w:r>
        <w:rPr>
          <w:rFonts w:ascii="Times New Roman" w:cs="Times New Roman" w:eastAsia="Times New Roman" w:hAnsi="Times New Roman"/>
          <w:sz w:val="40"/>
          <w:szCs w:val="40"/>
          <w:color w:val="auto"/>
        </w:rPr>
        <w:t>Ufficio Scolastico Regionale per l’Abruzzo</w:t>
      </w:r>
    </w:p>
    <w:p>
      <w:pPr>
        <w:spacing w:after="0" w:line="174"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40"/>
          <w:szCs w:val="40"/>
          <w:color w:val="auto"/>
        </w:rPr>
        <w:t>Direzione Generale – Ufficio 1</w:t>
      </w:r>
    </w:p>
    <w:p>
      <w:pPr>
        <w:spacing w:after="0" w:line="200" w:lineRule="exact"/>
        <w:rPr>
          <w:sz w:val="20"/>
          <w:szCs w:val="20"/>
          <w:color w:val="auto"/>
        </w:rPr>
      </w:pPr>
    </w:p>
    <w:p>
      <w:pPr>
        <w:spacing w:after="0" w:line="279" w:lineRule="exact"/>
        <w:rPr>
          <w:sz w:val="20"/>
          <w:szCs w:val="20"/>
          <w:color w:val="auto"/>
        </w:rPr>
      </w:pPr>
    </w:p>
    <w:p>
      <w:pPr>
        <w:jc w:val="both"/>
        <w:spacing w:after="0" w:line="310" w:lineRule="auto"/>
        <w:rPr>
          <w:sz w:val="20"/>
          <w:szCs w:val="20"/>
          <w:color w:val="auto"/>
        </w:rPr>
      </w:pPr>
      <w:r>
        <w:rPr>
          <w:rFonts w:ascii="Times New Roman" w:cs="Times New Roman" w:eastAsia="Times New Roman" w:hAnsi="Times New Roman"/>
          <w:sz w:val="22"/>
          <w:szCs w:val="22"/>
          <w:color w:val="auto"/>
        </w:rPr>
        <w:t>L’Ipotesi di ripartizione è stata predisposta in attuazione degli obblighi contrattuali richiamati dal CCNL dell’Area V del 15 luglio 2010, - con particolare riguardo agli articoli 6 e 26 - e tenendo conto dei criteri concordati in seno alla Conferenza di servizi del 04/08/2016, al fine di uniformare il trattamento giuridico ed economico dei dirigenti scolastici della Regione Abruzzo a quello di tutti i Dirigenti scolastici a livello nazionale. La ripartizione e l’utilizzo delle risorse del fondo regionale seguono l’articolazione dell’anno scolastico (1° settembre 2014 – 31 agosto 2015).</w:t>
      </w:r>
    </w:p>
    <w:p>
      <w:pPr>
        <w:spacing w:after="0" w:line="79" w:lineRule="exact"/>
        <w:rPr>
          <w:sz w:val="20"/>
          <w:szCs w:val="20"/>
          <w:color w:val="auto"/>
        </w:rPr>
      </w:pPr>
    </w:p>
    <w:p>
      <w:pPr>
        <w:jc w:val="both"/>
        <w:spacing w:after="0" w:line="320" w:lineRule="auto"/>
        <w:rPr>
          <w:sz w:val="20"/>
          <w:szCs w:val="20"/>
          <w:color w:val="auto"/>
        </w:rPr>
      </w:pPr>
      <w:r>
        <w:rPr>
          <w:rFonts w:ascii="Times New Roman" w:cs="Times New Roman" w:eastAsia="Times New Roman" w:hAnsi="Times New Roman"/>
          <w:sz w:val="22"/>
          <w:szCs w:val="22"/>
          <w:color w:val="auto"/>
        </w:rPr>
        <w:t>Nell’anno scolastico 2014/2015 in Abruzzo risultano n. 200 istituzioni scolastiche in organico di diritto e n.184 dirigenti scolastici titolari, di cui n. 2 assunti con decorrenza giuridica dal 1° settembre 2014 ed economica dal 17/11/2014.</w:t>
      </w:r>
    </w:p>
    <w:p>
      <w:pPr>
        <w:spacing w:after="0" w:line="68" w:lineRule="exact"/>
        <w:rPr>
          <w:sz w:val="20"/>
          <w:szCs w:val="20"/>
          <w:color w:val="auto"/>
        </w:rPr>
      </w:pPr>
    </w:p>
    <w:p>
      <w:pPr>
        <w:jc w:val="both"/>
        <w:spacing w:after="0" w:line="311" w:lineRule="auto"/>
        <w:rPr>
          <w:sz w:val="20"/>
          <w:szCs w:val="20"/>
          <w:color w:val="auto"/>
        </w:rPr>
      </w:pPr>
      <w:r>
        <w:rPr>
          <w:rFonts w:ascii="Times New Roman" w:cs="Times New Roman" w:eastAsia="Times New Roman" w:hAnsi="Times New Roman"/>
          <w:sz w:val="22"/>
          <w:szCs w:val="22"/>
          <w:color w:val="auto"/>
        </w:rPr>
        <w:t>Il fondo regionale assegnato dal MIUR con DDG AOODRUF prot. n.635 del 26/08/2015 (comunicato in data 12/10/ 2015 con nota prot. AOODGPER n. 33111) all’Ufficio Scolastico Regionale per l’Abruzzo in base all’organico di diritto dei Dirigenti Scolastici per l’a.s. 2014/2015 è pari ad € 2.746.797,38. Il Fondo viene integrato dalle risorse derivanti dagli incarichi aggiuntivi ai sensi dell’art. 10 del CCNL Area V del 15 luglio 2010 pari ad € 9.502,75.</w:t>
      </w:r>
    </w:p>
    <w:p>
      <w:pPr>
        <w:spacing w:after="0" w:line="82" w:lineRule="exact"/>
        <w:rPr>
          <w:sz w:val="20"/>
          <w:szCs w:val="20"/>
          <w:color w:val="auto"/>
        </w:rPr>
      </w:pPr>
    </w:p>
    <w:p>
      <w:pPr>
        <w:jc w:val="both"/>
        <w:spacing w:after="0" w:line="336" w:lineRule="auto"/>
        <w:rPr>
          <w:sz w:val="20"/>
          <w:szCs w:val="20"/>
          <w:color w:val="auto"/>
        </w:rPr>
      </w:pPr>
      <w:r>
        <w:rPr>
          <w:rFonts w:ascii="Times New Roman" w:cs="Times New Roman" w:eastAsia="Times New Roman" w:hAnsi="Times New Roman"/>
          <w:sz w:val="22"/>
          <w:szCs w:val="22"/>
          <w:color w:val="auto"/>
        </w:rPr>
        <w:t>Pertanto il fondo regionale per la determinazione della retribuzione di posizione e di risultato relativo all’anno scolastico 2014-2015 viene quantificato in complessivi € 2.756.300,13.</w:t>
      </w:r>
    </w:p>
    <w:p>
      <w:pPr>
        <w:spacing w:after="0" w:line="50" w:lineRule="exact"/>
        <w:rPr>
          <w:sz w:val="20"/>
          <w:szCs w:val="20"/>
          <w:color w:val="auto"/>
        </w:rPr>
      </w:pPr>
    </w:p>
    <w:p>
      <w:pPr>
        <w:jc w:val="both"/>
        <w:spacing w:after="0" w:line="320" w:lineRule="auto"/>
        <w:rPr>
          <w:sz w:val="20"/>
          <w:szCs w:val="20"/>
          <w:color w:val="auto"/>
        </w:rPr>
      </w:pPr>
      <w:r>
        <w:rPr>
          <w:rFonts w:ascii="Times New Roman" w:cs="Times New Roman" w:eastAsia="Times New Roman" w:hAnsi="Times New Roman"/>
          <w:sz w:val="22"/>
          <w:szCs w:val="22"/>
          <w:color w:val="auto"/>
        </w:rPr>
        <w:t>Come previsto dall’art.4 – comma 1- del C.I.N. del 22/02/2007 relativo al personale dell’area V della dirigenza scolastica, il fondo è destinato per l’85% delle risorse alla retribuzione di posizione e per il restante 15% alla retribuzione di risultato.</w:t>
      </w:r>
    </w:p>
    <w:p>
      <w:pPr>
        <w:spacing w:after="0" w:line="68" w:lineRule="exact"/>
        <w:rPr>
          <w:sz w:val="20"/>
          <w:szCs w:val="20"/>
          <w:color w:val="auto"/>
        </w:rPr>
      </w:pPr>
    </w:p>
    <w:p>
      <w:pPr>
        <w:jc w:val="both"/>
        <w:spacing w:after="0" w:line="314" w:lineRule="auto"/>
        <w:rPr>
          <w:sz w:val="20"/>
          <w:szCs w:val="20"/>
          <w:color w:val="auto"/>
        </w:rPr>
      </w:pPr>
      <w:r>
        <w:rPr>
          <w:rFonts w:ascii="Times New Roman" w:cs="Times New Roman" w:eastAsia="Times New Roman" w:hAnsi="Times New Roman"/>
          <w:sz w:val="22"/>
          <w:szCs w:val="22"/>
          <w:color w:val="auto"/>
        </w:rPr>
        <w:t>Ai fini della determinazione della quota variabile della retribuzione di posizione e della retribuzione di risultato le Istituzioni scolastiche della regione sono classificate in tre fasce di complessità di cui all’art. 6 del CCNL dell’Area V del 15 luglio 2010. Il rapporto retributivo annuo tra la fascia più alta e quella più bassa è di 1/1,86, per la fascia intermedia proporzionalmente il rapporto è di 1/1,43.</w:t>
      </w:r>
    </w:p>
    <w:p>
      <w:pPr>
        <w:spacing w:after="0" w:line="78" w:lineRule="exact"/>
        <w:rPr>
          <w:sz w:val="20"/>
          <w:szCs w:val="20"/>
          <w:color w:val="auto"/>
        </w:rPr>
      </w:pPr>
    </w:p>
    <w:p>
      <w:pPr>
        <w:jc w:val="both"/>
        <w:spacing w:after="0" w:line="314" w:lineRule="auto"/>
        <w:rPr>
          <w:sz w:val="20"/>
          <w:szCs w:val="20"/>
          <w:color w:val="auto"/>
        </w:rPr>
      </w:pPr>
      <w:r>
        <w:rPr>
          <w:rFonts w:ascii="Times New Roman" w:cs="Times New Roman" w:eastAsia="Times New Roman" w:hAnsi="Times New Roman"/>
          <w:sz w:val="22"/>
          <w:szCs w:val="22"/>
          <w:color w:val="auto"/>
        </w:rPr>
        <w:t>Le nuove fasce di complessità delle istituzioni scolastiche della regione approvate con decreto prot.n° AOODRAB 5338 del 17/07/2014, sono calcolate secondo le seguenti percentuali di raggruppamento stabilite con Contratto Integrativo Regionale sottoscritto 13 febbraio 2013: 25% in prima fascia, 60% in seconda fascia, 15% in terza fascia.</w:t>
      </w:r>
    </w:p>
    <w:p>
      <w:pPr>
        <w:spacing w:after="0" w:line="76" w:lineRule="exact"/>
        <w:rPr>
          <w:sz w:val="20"/>
          <w:szCs w:val="20"/>
          <w:color w:val="auto"/>
        </w:rPr>
      </w:pPr>
    </w:p>
    <w:p>
      <w:pPr>
        <w:jc w:val="both"/>
        <w:spacing w:after="0" w:line="320" w:lineRule="auto"/>
        <w:rPr>
          <w:sz w:val="20"/>
          <w:szCs w:val="20"/>
          <w:color w:val="auto"/>
        </w:rPr>
      </w:pPr>
      <w:r>
        <w:rPr>
          <w:rFonts w:ascii="Times New Roman" w:cs="Times New Roman" w:eastAsia="Times New Roman" w:hAnsi="Times New Roman"/>
          <w:sz w:val="22"/>
          <w:szCs w:val="22"/>
          <w:color w:val="auto"/>
        </w:rPr>
        <w:t>In prima fascia risultano n. 60 posizioni (50 dirigenti titolari + 10 dirigenti che in vigenza di contratto mantengono la 1^ fascia); in seconda fascia risultano n. 108 posizioni (105 dirigenti titolari + 3 dirigenti che in vigenza di contratto mantengono la 2^ fascia); in terza fascia risultano n.16 posizioni.</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1" w:lineRule="exact"/>
        <w:rPr>
          <w:sz w:val="20"/>
          <w:szCs w:val="20"/>
          <w:color w:val="auto"/>
        </w:rPr>
      </w:pPr>
    </w:p>
    <w:p>
      <w:pPr>
        <w:ind w:left="9520"/>
        <w:spacing w:after="0"/>
        <w:rPr>
          <w:sz w:val="20"/>
          <w:szCs w:val="20"/>
          <w:color w:val="auto"/>
        </w:rPr>
      </w:pPr>
      <w:r>
        <w:rPr>
          <w:rFonts w:ascii="Calibri" w:cs="Calibri" w:eastAsia="Calibri" w:hAnsi="Calibri"/>
          <w:sz w:val="22"/>
          <w:szCs w:val="22"/>
          <w:color w:val="auto"/>
        </w:rPr>
        <w:t>3</w:t>
      </w:r>
    </w:p>
    <w:p>
      <w:pPr>
        <w:sectPr>
          <w:pgSz w:w="11900" w:h="16838" w:orient="portrait"/>
          <w:cols w:equalWidth="0" w:num="1">
            <w:col w:w="9640"/>
          </w:cols>
          <w:pgMar w:left="1140" w:top="1440" w:right="1120" w:bottom="707" w:gutter="0" w:footer="0" w:header="0"/>
        </w:sectPr>
      </w:pPr>
    </w:p>
    <w:bookmarkStart w:id="3" w:name="page4"/>
    <w:bookmarkEnd w:id="3"/>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3665220</wp:posOffset>
            </wp:positionH>
            <wp:positionV relativeFrom="page">
              <wp:posOffset>449580</wp:posOffset>
            </wp:positionV>
            <wp:extent cx="581025" cy="67627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clrChange>
                        <a:clrFrom>
                          <a:srgbClr val="FFFFFF"/>
                        </a:clrFrom>
                        <a:clrTo>
                          <a:srgbClr val="FFFFFF">
                            <a:alpha val="0"/>
                          </a:srgbClr>
                        </a:clrTo>
                      </a:clrChange>
                      <a:extLst>
                        <a:ext uri="{28A0092B-C50C-407E-A947-70E740481C1C}"/>
                      </a:extLst>
                    </a:blip>
                    <a:srcRect/>
                    <a:stretch>
                      <a:fillRect/>
                    </a:stretch>
                  </pic:blipFill>
                  <pic:spPr bwMode="auto">
                    <a:xfrm>
                      <a:off x="0" y="0"/>
                      <a:ext cx="581025" cy="676275"/>
                    </a:xfrm>
                    <a:prstGeom prst="rect">
                      <a:avLst/>
                    </a:prstGeom>
                    <a:noFill/>
                  </pic:spPr>
                </pic:pic>
              </a:graphicData>
            </a:graphic>
          </wp:anchor>
        </w:drawing>
      </w:r>
    </w:p>
    <w:p>
      <w:pPr>
        <w:spacing w:after="0" w:line="268" w:lineRule="exact"/>
        <w:rPr>
          <w:sz w:val="20"/>
          <w:szCs w:val="20"/>
          <w:color w:val="auto"/>
        </w:rPr>
      </w:pPr>
    </w:p>
    <w:p>
      <w:pPr>
        <w:ind w:left="1040"/>
        <w:spacing w:after="0"/>
        <w:rPr>
          <w:sz w:val="20"/>
          <w:szCs w:val="20"/>
          <w:color w:val="auto"/>
        </w:rPr>
      </w:pPr>
      <w:r>
        <w:rPr>
          <w:rFonts w:ascii="Times New Roman" w:cs="Times New Roman" w:eastAsia="Times New Roman" w:hAnsi="Times New Roman"/>
          <w:sz w:val="37"/>
          <w:szCs w:val="37"/>
          <w:color w:val="auto"/>
        </w:rPr>
        <w:t>Ministero dell’Istruzione, dell’Università e della Ricerca</w:t>
      </w:r>
    </w:p>
    <w:p>
      <w:pPr>
        <w:spacing w:after="0" w:line="256" w:lineRule="exact"/>
        <w:rPr>
          <w:sz w:val="20"/>
          <w:szCs w:val="20"/>
          <w:color w:val="auto"/>
        </w:rPr>
      </w:pPr>
    </w:p>
    <w:p>
      <w:pPr>
        <w:ind w:left="2320"/>
        <w:spacing w:after="0"/>
        <w:rPr>
          <w:sz w:val="20"/>
          <w:szCs w:val="20"/>
          <w:color w:val="auto"/>
        </w:rPr>
      </w:pPr>
      <w:r>
        <w:rPr>
          <w:rFonts w:ascii="Times New Roman" w:cs="Times New Roman" w:eastAsia="Times New Roman" w:hAnsi="Times New Roman"/>
          <w:sz w:val="40"/>
          <w:szCs w:val="40"/>
          <w:color w:val="auto"/>
        </w:rPr>
        <w:t>Ufficio Scolastico Regionale per l’Abruzzo</w:t>
      </w:r>
    </w:p>
    <w:p>
      <w:pPr>
        <w:spacing w:after="0" w:line="174"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40"/>
          <w:szCs w:val="40"/>
          <w:color w:val="auto"/>
        </w:rPr>
        <w:t>Direzione Generale – Ufficio 1</w:t>
      </w:r>
    </w:p>
    <w:p>
      <w:pPr>
        <w:spacing w:after="0" w:line="200" w:lineRule="exact"/>
        <w:rPr>
          <w:sz w:val="20"/>
          <w:szCs w:val="20"/>
          <w:color w:val="auto"/>
        </w:rPr>
      </w:pPr>
    </w:p>
    <w:p>
      <w:pPr>
        <w:spacing w:after="0" w:line="279" w:lineRule="exact"/>
        <w:rPr>
          <w:sz w:val="20"/>
          <w:szCs w:val="20"/>
          <w:color w:val="auto"/>
        </w:rPr>
      </w:pPr>
    </w:p>
    <w:p>
      <w:pPr>
        <w:jc w:val="both"/>
        <w:spacing w:after="0" w:line="320" w:lineRule="auto"/>
        <w:rPr>
          <w:sz w:val="20"/>
          <w:szCs w:val="20"/>
          <w:color w:val="auto"/>
        </w:rPr>
      </w:pPr>
      <w:r>
        <w:rPr>
          <w:rFonts w:ascii="Times New Roman" w:cs="Times New Roman" w:eastAsia="Times New Roman" w:hAnsi="Times New Roman"/>
          <w:sz w:val="22"/>
          <w:szCs w:val="22"/>
          <w:color w:val="auto"/>
        </w:rPr>
        <w:t>La retribuzione di posizione parte fissa viene calcolata in ragione del servizio prestato (n. 179 unità in servizio per l’intero anno scolastico, n. 2 dirigenti assunti in servizio con decorrenza economica dal 17.11.2014 e n. 3 cessati nel corso dell’anno scolastico).</w:t>
      </w:r>
    </w:p>
    <w:p>
      <w:pPr>
        <w:spacing w:after="0" w:line="68" w:lineRule="exact"/>
        <w:rPr>
          <w:sz w:val="20"/>
          <w:szCs w:val="20"/>
          <w:color w:val="auto"/>
        </w:rPr>
      </w:pPr>
    </w:p>
    <w:p>
      <w:pPr>
        <w:jc w:val="both"/>
        <w:spacing w:after="0" w:line="311" w:lineRule="auto"/>
        <w:rPr>
          <w:sz w:val="20"/>
          <w:szCs w:val="20"/>
          <w:color w:val="auto"/>
        </w:rPr>
      </w:pPr>
      <w:r>
        <w:rPr>
          <w:rFonts w:ascii="Times New Roman" w:cs="Times New Roman" w:eastAsia="Times New Roman" w:hAnsi="Times New Roman"/>
          <w:sz w:val="22"/>
          <w:szCs w:val="22"/>
          <w:color w:val="auto"/>
        </w:rPr>
        <w:t>Dai calcoli effettuati in applicazione delle norme contrattuali ai fini della retribuzione di posizione parte variabile per l’anno scolastico 2014/2015 risulta disponibile l’importo di € 1.558.405,45. Tale budget determina per ciascuna fascia importi annui inferiori a quelli percepiti in acconto. Si destina l’intera somma residua non utilizzata – pari ad € 135.513,51 - per integrare il budget in modo da avvicinare gli importi della retribuzione di posizione parte variabile a quelli già percepiti in acconto.</w:t>
      </w:r>
    </w:p>
    <w:p>
      <w:pPr>
        <w:spacing w:after="0" w:line="82" w:lineRule="exact"/>
        <w:rPr>
          <w:sz w:val="20"/>
          <w:szCs w:val="20"/>
          <w:color w:val="auto"/>
        </w:rPr>
      </w:pPr>
    </w:p>
    <w:p>
      <w:pPr>
        <w:jc w:val="both"/>
        <w:spacing w:after="0" w:line="310" w:lineRule="auto"/>
        <w:rPr>
          <w:sz w:val="20"/>
          <w:szCs w:val="20"/>
          <w:color w:val="auto"/>
        </w:rPr>
      </w:pPr>
      <w:r>
        <w:rPr>
          <w:rFonts w:ascii="Times New Roman" w:cs="Times New Roman" w:eastAsia="Times New Roman" w:hAnsi="Times New Roman"/>
          <w:sz w:val="22"/>
          <w:szCs w:val="22"/>
          <w:color w:val="auto"/>
        </w:rPr>
        <w:t>Il budget complessivo destinato alla retribuzione di posizione parte variabile pertanto passa ad € 1.693.918,96. Gli importi annui derivanti dalla ipotesi di ripartizione, rispettivamente di € 11.266,93 per la 1^ fascia, € 8.662,21 per la 2^ fascia ed € 6.057,49 per la 3^ fascia non sono superiori a quelli percepiti nell’anno 2010 (art.9, comma 1, del D.L. n.78/2010 e circolare MEF/RGS n.12/2011). Nell’anno scolastico 2010/2011 (C.I.R. 3/12/2010) gli importi erano rispettivamente di € 11.445,78 per la 1^ fascia, € 8.804,44 per la 2^ fascia ed € 6.163,11 per la 3^ fascia.</w:t>
      </w:r>
    </w:p>
    <w:p>
      <w:pPr>
        <w:spacing w:after="0" w:line="80" w:lineRule="exact"/>
        <w:rPr>
          <w:sz w:val="20"/>
          <w:szCs w:val="20"/>
          <w:color w:val="auto"/>
        </w:rPr>
      </w:pPr>
    </w:p>
    <w:p>
      <w:pPr>
        <w:jc w:val="both"/>
        <w:spacing w:after="0" w:line="314" w:lineRule="auto"/>
        <w:rPr>
          <w:sz w:val="20"/>
          <w:szCs w:val="20"/>
          <w:color w:val="auto"/>
        </w:rPr>
      </w:pPr>
      <w:r>
        <w:rPr>
          <w:rFonts w:ascii="Times New Roman" w:cs="Times New Roman" w:eastAsia="Times New Roman" w:hAnsi="Times New Roman"/>
          <w:sz w:val="22"/>
          <w:szCs w:val="22"/>
          <w:color w:val="auto"/>
        </w:rPr>
        <w:t>Gli importi delle retribuzioni di posizione parte variabile sono calcolati in ragione del servizio prestato (n. 179 unità in servizio per l’intero anno scolastico, n. 2 dirigenti assunti in servizio con decorrenza economica dal 17.11.2014 e n. 3 cessati nel corso dell’anno scolastico) e non determinano somme residue per integrare il budget finalizzato alla retribuzione di risultato e al pagamento delle reggenze.</w:t>
      </w:r>
    </w:p>
    <w:p>
      <w:pPr>
        <w:spacing w:after="0" w:line="76" w:lineRule="exact"/>
        <w:rPr>
          <w:sz w:val="20"/>
          <w:szCs w:val="20"/>
          <w:color w:val="auto"/>
        </w:rPr>
      </w:pPr>
    </w:p>
    <w:p>
      <w:pPr>
        <w:jc w:val="both"/>
        <w:spacing w:after="0" w:line="320" w:lineRule="auto"/>
        <w:rPr>
          <w:sz w:val="20"/>
          <w:szCs w:val="20"/>
          <w:color w:val="auto"/>
        </w:rPr>
      </w:pPr>
      <w:r>
        <w:rPr>
          <w:rFonts w:ascii="Times New Roman" w:cs="Times New Roman" w:eastAsia="Times New Roman" w:hAnsi="Times New Roman"/>
          <w:sz w:val="22"/>
          <w:szCs w:val="22"/>
          <w:color w:val="auto"/>
        </w:rPr>
        <w:t>Il budget finalizzato alla retribuzione di risultato ed al pagamento delle reggenze (determinato in ragione del 15% del fondo) ammonta ad € 413.445,02 - di cui € 103.529,51 sono destinati a retribuire le reggenze ed € 309.915,51 per le retribuzioni di risultato.</w:t>
      </w:r>
    </w:p>
    <w:p>
      <w:pPr>
        <w:spacing w:after="0" w:line="68" w:lineRule="exact"/>
        <w:rPr>
          <w:sz w:val="20"/>
          <w:szCs w:val="20"/>
          <w:color w:val="auto"/>
        </w:rPr>
      </w:pPr>
    </w:p>
    <w:p>
      <w:pPr>
        <w:jc w:val="both"/>
        <w:spacing w:after="0" w:line="311" w:lineRule="auto"/>
        <w:rPr>
          <w:sz w:val="20"/>
          <w:szCs w:val="20"/>
          <w:color w:val="auto"/>
        </w:rPr>
      </w:pPr>
      <w:r>
        <w:rPr>
          <w:rFonts w:ascii="Times New Roman" w:cs="Times New Roman" w:eastAsia="Times New Roman" w:hAnsi="Times New Roman"/>
          <w:sz w:val="22"/>
          <w:szCs w:val="22"/>
          <w:color w:val="auto"/>
        </w:rPr>
        <w:t>Per quanto concerne la retribuzione di risultato, nelle more della “verifica dei risultati e valutazione del dirigente” prevista dal comma 10 dell’art.20 del CCNL del 11/04/2006, la retribuzione di risultato è definita in relazione alle fasce di complessità delle istituzioni scolastiche e calcolata in ragione del servizio prestato (n. 179 unità in servizio per l’intero anno scolastico, n. 2 dirigenti assunti in servizio con decorrenza economica dal 17.11.2014 e n. 3 cessati nel corso dell’anno scolastico).</w:t>
      </w:r>
    </w:p>
    <w:p>
      <w:pPr>
        <w:spacing w:after="0" w:line="82" w:lineRule="exact"/>
        <w:rPr>
          <w:sz w:val="20"/>
          <w:szCs w:val="20"/>
          <w:color w:val="auto"/>
        </w:rPr>
      </w:pPr>
    </w:p>
    <w:p>
      <w:pPr>
        <w:jc w:val="both"/>
        <w:spacing w:after="0" w:line="311" w:lineRule="auto"/>
        <w:rPr>
          <w:sz w:val="20"/>
          <w:szCs w:val="20"/>
          <w:color w:val="auto"/>
        </w:rPr>
      </w:pPr>
      <w:r>
        <w:rPr>
          <w:rFonts w:ascii="Times New Roman" w:cs="Times New Roman" w:eastAsia="Times New Roman" w:hAnsi="Times New Roman"/>
          <w:sz w:val="22"/>
          <w:szCs w:val="22"/>
          <w:color w:val="auto"/>
        </w:rPr>
        <w:t>L’integrazione della retribuzione di risultato attribuita per le reggenze, secondo quanto stabilito dall’art. 2, comma 2, del Contratto Integrativo Nazionale sottoscritto il 22 febbraio 2007, è calcolata nella misura dell’80% dell’importo della retribuzione di posizione parte variabile corrispondente alla fascia dell’Istituzione scolastica assegnata in reggenza e determinato in relazione alla durata della reggenza, considerando pari ad un mese la frazione di servizio continuativo non inferiore a 16 giorni.</w:t>
      </w:r>
    </w:p>
    <w:p>
      <w:pPr>
        <w:spacing w:after="0" w:line="80" w:lineRule="exact"/>
        <w:rPr>
          <w:sz w:val="20"/>
          <w:szCs w:val="20"/>
          <w:color w:val="auto"/>
        </w:rPr>
      </w:pPr>
    </w:p>
    <w:p>
      <w:pPr>
        <w:jc w:val="both"/>
        <w:spacing w:after="0" w:line="314" w:lineRule="auto"/>
        <w:rPr>
          <w:sz w:val="20"/>
          <w:szCs w:val="20"/>
          <w:color w:val="auto"/>
        </w:rPr>
      </w:pPr>
      <w:r>
        <w:rPr>
          <w:rFonts w:ascii="Times New Roman" w:cs="Times New Roman" w:eastAsia="Times New Roman" w:hAnsi="Times New Roman"/>
          <w:sz w:val="22"/>
          <w:szCs w:val="22"/>
          <w:color w:val="auto"/>
        </w:rPr>
        <w:t>Nell’anno scolastico 2014/2015 sono stati conferiti n. 14 incarichi di reggenza di durata annuale (di cui n. 10 su istituzioni scolastiche di 3^ fascia e n. 4 su istituzioni scolastiche di 2^ fascia). Sono stati conferiti anche</w:t>
      </w:r>
    </w:p>
    <w:p>
      <w:pPr>
        <w:spacing w:after="0" w:line="1" w:lineRule="exact"/>
        <w:rPr>
          <w:sz w:val="20"/>
          <w:szCs w:val="20"/>
          <w:color w:val="auto"/>
        </w:rPr>
      </w:pPr>
    </w:p>
    <w:p>
      <w:pPr>
        <w:ind w:left="9520"/>
        <w:spacing w:after="0"/>
        <w:rPr>
          <w:sz w:val="20"/>
          <w:szCs w:val="20"/>
          <w:color w:val="auto"/>
        </w:rPr>
      </w:pPr>
      <w:r>
        <w:rPr>
          <w:rFonts w:ascii="Calibri" w:cs="Calibri" w:eastAsia="Calibri" w:hAnsi="Calibri"/>
          <w:sz w:val="22"/>
          <w:szCs w:val="22"/>
          <w:color w:val="auto"/>
        </w:rPr>
        <w:t>4</w:t>
      </w:r>
    </w:p>
    <w:p>
      <w:pPr>
        <w:sectPr>
          <w:pgSz w:w="11900" w:h="16838" w:orient="portrait"/>
          <w:cols w:equalWidth="0" w:num="1">
            <w:col w:w="9640"/>
          </w:cols>
          <w:pgMar w:left="1140" w:top="1440" w:right="1120" w:bottom="707" w:gutter="0" w:footer="0" w:header="0"/>
        </w:sectPr>
      </w:pPr>
    </w:p>
    <w:bookmarkStart w:id="4" w:name="page5"/>
    <w:bookmarkEnd w:id="4"/>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3665220</wp:posOffset>
            </wp:positionH>
            <wp:positionV relativeFrom="page">
              <wp:posOffset>449580</wp:posOffset>
            </wp:positionV>
            <wp:extent cx="581025" cy="67627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a:clrChange>
                        <a:clrFrom>
                          <a:srgbClr val="FFFFFF"/>
                        </a:clrFrom>
                        <a:clrTo>
                          <a:srgbClr val="FFFFFF">
                            <a:alpha val="0"/>
                          </a:srgbClr>
                        </a:clrTo>
                      </a:clrChange>
                      <a:extLst>
                        <a:ext uri="{28A0092B-C50C-407E-A947-70E740481C1C}"/>
                      </a:extLst>
                    </a:blip>
                    <a:srcRect/>
                    <a:stretch>
                      <a:fillRect/>
                    </a:stretch>
                  </pic:blipFill>
                  <pic:spPr bwMode="auto">
                    <a:xfrm>
                      <a:off x="0" y="0"/>
                      <a:ext cx="581025" cy="676275"/>
                    </a:xfrm>
                    <a:prstGeom prst="rect">
                      <a:avLst/>
                    </a:prstGeom>
                    <a:noFill/>
                  </pic:spPr>
                </pic:pic>
              </a:graphicData>
            </a:graphic>
          </wp:anchor>
        </w:drawing>
      </w:r>
    </w:p>
    <w:p>
      <w:pPr>
        <w:spacing w:after="0" w:line="268" w:lineRule="exact"/>
        <w:rPr>
          <w:sz w:val="20"/>
          <w:szCs w:val="20"/>
          <w:color w:val="auto"/>
        </w:rPr>
      </w:pPr>
    </w:p>
    <w:p>
      <w:pPr>
        <w:ind w:left="1040"/>
        <w:spacing w:after="0"/>
        <w:rPr>
          <w:sz w:val="20"/>
          <w:szCs w:val="20"/>
          <w:color w:val="auto"/>
        </w:rPr>
      </w:pPr>
      <w:r>
        <w:rPr>
          <w:rFonts w:ascii="Times New Roman" w:cs="Times New Roman" w:eastAsia="Times New Roman" w:hAnsi="Times New Roman"/>
          <w:sz w:val="37"/>
          <w:szCs w:val="37"/>
          <w:color w:val="auto"/>
        </w:rPr>
        <w:t>Ministero dell’Istruzione, dell’Università e della Ricerca</w:t>
      </w:r>
    </w:p>
    <w:p>
      <w:pPr>
        <w:spacing w:after="0" w:line="256" w:lineRule="exact"/>
        <w:rPr>
          <w:sz w:val="20"/>
          <w:szCs w:val="20"/>
          <w:color w:val="auto"/>
        </w:rPr>
      </w:pPr>
    </w:p>
    <w:p>
      <w:pPr>
        <w:ind w:left="2320"/>
        <w:spacing w:after="0"/>
        <w:rPr>
          <w:sz w:val="20"/>
          <w:szCs w:val="20"/>
          <w:color w:val="auto"/>
        </w:rPr>
      </w:pPr>
      <w:r>
        <w:rPr>
          <w:rFonts w:ascii="Times New Roman" w:cs="Times New Roman" w:eastAsia="Times New Roman" w:hAnsi="Times New Roman"/>
          <w:sz w:val="40"/>
          <w:szCs w:val="40"/>
          <w:color w:val="auto"/>
        </w:rPr>
        <w:t>Ufficio Scolastico Regionale per l’Abruzzo</w:t>
      </w:r>
    </w:p>
    <w:p>
      <w:pPr>
        <w:spacing w:after="0" w:line="174" w:lineRule="exact"/>
        <w:rPr>
          <w:sz w:val="20"/>
          <w:szCs w:val="20"/>
          <w:color w:val="auto"/>
        </w:rPr>
      </w:pPr>
    </w:p>
    <w:p>
      <w:pPr>
        <w:ind w:left="3120"/>
        <w:spacing w:after="0"/>
        <w:rPr>
          <w:sz w:val="20"/>
          <w:szCs w:val="20"/>
          <w:color w:val="auto"/>
        </w:rPr>
      </w:pPr>
      <w:r>
        <w:rPr>
          <w:rFonts w:ascii="Times New Roman" w:cs="Times New Roman" w:eastAsia="Times New Roman" w:hAnsi="Times New Roman"/>
          <w:sz w:val="40"/>
          <w:szCs w:val="40"/>
          <w:color w:val="auto"/>
        </w:rPr>
        <w:t>Direzione Generale – Ufficio 1</w:t>
      </w:r>
    </w:p>
    <w:p>
      <w:pPr>
        <w:spacing w:after="0" w:line="200" w:lineRule="exact"/>
        <w:rPr>
          <w:sz w:val="20"/>
          <w:szCs w:val="20"/>
          <w:color w:val="auto"/>
        </w:rPr>
      </w:pPr>
    </w:p>
    <w:p>
      <w:pPr>
        <w:spacing w:after="0" w:line="279" w:lineRule="exact"/>
        <w:rPr>
          <w:sz w:val="20"/>
          <w:szCs w:val="20"/>
          <w:color w:val="auto"/>
        </w:rPr>
      </w:pPr>
    </w:p>
    <w:p>
      <w:pPr>
        <w:jc w:val="both"/>
        <w:spacing w:after="0" w:line="336" w:lineRule="auto"/>
        <w:rPr>
          <w:sz w:val="20"/>
          <w:szCs w:val="20"/>
          <w:color w:val="auto"/>
        </w:rPr>
      </w:pPr>
      <w:r>
        <w:rPr>
          <w:rFonts w:ascii="Times New Roman" w:cs="Times New Roman" w:eastAsia="Times New Roman" w:hAnsi="Times New Roman"/>
          <w:sz w:val="22"/>
          <w:szCs w:val="22"/>
          <w:color w:val="auto"/>
        </w:rPr>
        <w:t>n. 11 incarichi di reggenza temporanei (di cui n. 2 su istituzioni scolastiche di 3^ fascia, n. 8 su istituzioni scolastiche di 2^ fascia e n. 1 su istituzioni scolastiche di 1^ fascia).</w:t>
      </w:r>
    </w:p>
    <w:p>
      <w:pPr>
        <w:spacing w:after="0" w:line="53" w:lineRule="exact"/>
        <w:rPr>
          <w:sz w:val="20"/>
          <w:szCs w:val="20"/>
          <w:color w:val="auto"/>
        </w:rPr>
      </w:pPr>
    </w:p>
    <w:p>
      <w:pPr>
        <w:jc w:val="both"/>
        <w:spacing w:after="0" w:line="319" w:lineRule="auto"/>
        <w:rPr>
          <w:sz w:val="20"/>
          <w:szCs w:val="20"/>
          <w:color w:val="auto"/>
        </w:rPr>
      </w:pPr>
      <w:r>
        <w:rPr>
          <w:rFonts w:ascii="Times New Roman" w:cs="Times New Roman" w:eastAsia="Times New Roman" w:hAnsi="Times New Roman"/>
          <w:sz w:val="22"/>
          <w:szCs w:val="22"/>
          <w:color w:val="auto"/>
        </w:rPr>
        <w:t>I criteri e le modalità di utilizzo del fondo regionale definite dal presente provvedimento si applicano ai dirigenti scolastici in servizio nell’a.s. 2014/2015, effettuando i conguagli positivi e/o negativi relativamente alla parte economica.</w:t>
      </w:r>
    </w:p>
    <w:p>
      <w:pPr>
        <w:spacing w:after="0" w:line="71" w:lineRule="exact"/>
        <w:rPr>
          <w:sz w:val="20"/>
          <w:szCs w:val="20"/>
          <w:color w:val="auto"/>
        </w:rPr>
      </w:pPr>
    </w:p>
    <w:p>
      <w:pPr>
        <w:jc w:val="both"/>
        <w:spacing w:after="0" w:line="336" w:lineRule="auto"/>
        <w:rPr>
          <w:sz w:val="20"/>
          <w:szCs w:val="20"/>
          <w:color w:val="auto"/>
        </w:rPr>
      </w:pPr>
      <w:r>
        <w:rPr>
          <w:rFonts w:ascii="Times New Roman" w:cs="Times New Roman" w:eastAsia="Times New Roman" w:hAnsi="Times New Roman"/>
          <w:sz w:val="22"/>
          <w:szCs w:val="22"/>
          <w:color w:val="auto"/>
        </w:rPr>
        <w:t>Il provvedimento di ripartizione del fondo è stato redatto nel rispetto della normativa vigente in materia e l’applicazione dello stesso non comporta oneri finanziari superiori a quelli previsti.</w:t>
      </w:r>
    </w:p>
    <w:p>
      <w:pPr>
        <w:spacing w:after="0" w:line="200" w:lineRule="exact"/>
        <w:rPr>
          <w:sz w:val="20"/>
          <w:szCs w:val="20"/>
          <w:color w:val="auto"/>
        </w:rPr>
      </w:pPr>
    </w:p>
    <w:p>
      <w:pPr>
        <w:spacing w:after="0" w:line="292" w:lineRule="exact"/>
        <w:rPr>
          <w:sz w:val="20"/>
          <w:szCs w:val="20"/>
          <w:color w:val="auto"/>
        </w:rPr>
      </w:pPr>
    </w:p>
    <w:p>
      <w:pPr>
        <w:ind w:left="5660"/>
        <w:spacing w:after="0"/>
        <w:rPr>
          <w:sz w:val="20"/>
          <w:szCs w:val="20"/>
          <w:color w:val="auto"/>
        </w:rPr>
      </w:pPr>
      <w:r>
        <w:rPr>
          <w:rFonts w:ascii="Times New Roman" w:cs="Times New Roman" w:eastAsia="Times New Roman" w:hAnsi="Times New Roman"/>
          <w:sz w:val="22"/>
          <w:szCs w:val="22"/>
          <w:color w:val="auto"/>
        </w:rPr>
        <w:t>IL DIRETTORE GENERALE</w:t>
      </w:r>
    </w:p>
    <w:p>
      <w:pPr>
        <w:spacing w:after="0" w:line="186" w:lineRule="exact"/>
        <w:rPr>
          <w:sz w:val="20"/>
          <w:szCs w:val="20"/>
          <w:color w:val="auto"/>
        </w:rPr>
      </w:pPr>
    </w:p>
    <w:p>
      <w:pPr>
        <w:ind w:left="6040"/>
        <w:spacing w:after="0"/>
        <w:rPr>
          <w:sz w:val="20"/>
          <w:szCs w:val="20"/>
          <w:color w:val="auto"/>
        </w:rPr>
      </w:pPr>
      <w:r>
        <w:rPr>
          <w:rFonts w:ascii="Times New Roman" w:cs="Times New Roman" w:eastAsia="Times New Roman" w:hAnsi="Times New Roman"/>
          <w:sz w:val="22"/>
          <w:szCs w:val="22"/>
          <w:color w:val="auto"/>
        </w:rPr>
        <w:t>Ernesto Pellecchia</w:t>
      </w:r>
    </w:p>
    <w:p>
      <w:pPr>
        <w:spacing w:after="0" w:line="177" w:lineRule="exact"/>
        <w:rPr>
          <w:sz w:val="20"/>
          <w:szCs w:val="20"/>
          <w:color w:val="auto"/>
        </w:rPr>
      </w:pPr>
    </w:p>
    <w:p>
      <w:pPr>
        <w:ind w:left="7240" w:right="1220"/>
        <w:spacing w:after="0" w:line="248" w:lineRule="auto"/>
        <w:rPr>
          <w:sz w:val="20"/>
          <w:szCs w:val="20"/>
          <w:color w:val="auto"/>
        </w:rPr>
      </w:pPr>
      <w:r>
        <w:rPr>
          <w:rFonts w:ascii="Arial" w:cs="Arial" w:eastAsia="Arial" w:hAnsi="Arial"/>
          <w:sz w:val="18"/>
          <w:szCs w:val="18"/>
          <w:color w:val="auto"/>
        </w:rPr>
        <w:t>Firmato digitalmente da Ernesto Pellecchia</w:t>
      </w:r>
    </w:p>
    <w:p>
      <w:pPr>
        <w:spacing w:after="0" w:line="3" w:lineRule="exact"/>
        <w:rPr>
          <w:sz w:val="20"/>
          <w:szCs w:val="20"/>
          <w:color w:val="auto"/>
        </w:rPr>
      </w:pPr>
    </w:p>
    <w:p>
      <w:pPr>
        <w:ind w:left="7240" w:right="1180"/>
        <w:spacing w:after="0" w:line="356" w:lineRule="auto"/>
        <w:rPr>
          <w:sz w:val="20"/>
          <w:szCs w:val="20"/>
          <w:color w:val="auto"/>
        </w:rPr>
      </w:pPr>
      <w:r>
        <w:rPr>
          <w:rFonts w:ascii="Arial" w:cs="Arial" w:eastAsia="Arial" w:hAnsi="Arial"/>
          <w:sz w:val="15"/>
          <w:szCs w:val="15"/>
          <w:color w:val="auto"/>
        </w:rPr>
        <w:t>Data: 2016.11.23 09:21:11 +01'00'</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4" w:lineRule="exact"/>
        <w:rPr>
          <w:sz w:val="20"/>
          <w:szCs w:val="20"/>
          <w:color w:val="auto"/>
        </w:rPr>
      </w:pPr>
    </w:p>
    <w:p>
      <w:pPr>
        <w:ind w:left="9520"/>
        <w:spacing w:after="0"/>
        <w:rPr>
          <w:sz w:val="20"/>
          <w:szCs w:val="20"/>
          <w:color w:val="auto"/>
        </w:rPr>
      </w:pPr>
      <w:r>
        <w:rPr>
          <w:rFonts w:ascii="Calibri" w:cs="Calibri" w:eastAsia="Calibri" w:hAnsi="Calibri"/>
          <w:sz w:val="22"/>
          <w:szCs w:val="22"/>
          <w:color w:val="auto"/>
        </w:rPr>
        <w:t>5</w:t>
      </w:r>
    </w:p>
    <w:sectPr>
      <w:pgSz w:w="11900" w:h="16838" w:orient="portrait"/>
      <w:cols w:equalWidth="0" w:num="1">
        <w:col w:w="9640"/>
      </w:cols>
      <w:pgMar w:left="1140" w:top="1440" w:right="1120" w:bottom="707"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 Id="rId11" Type="http://schemas.openxmlformats.org/officeDocument/2006/relationships/image" Target="media/image4.jpeg"/><Relationship Id="rId12" Type="http://schemas.openxmlformats.org/officeDocument/2006/relationships/image" Target="media/image5.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2016-11-23T11:27:05Z</dcterms:created>
  <dcterms:modified xsi:type="dcterms:W3CDTF">2016-11-23T11:27:05Z</dcterms:modified>
</cp:coreProperties>
</file>